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lang w:eastAsia="zh-CN"/>
        </w:rPr>
      </w:pPr>
      <w:bookmarkStart w:id="21" w:name="_GoBack"/>
      <w:bookmarkEnd w:id="21"/>
      <w:r>
        <w:rPr>
          <w:rFonts w:hint="eastAsia" w:ascii="方正小标宋简体" w:hAnsi="方正小标宋简体" w:eastAsia="方正小标宋简体" w:cs="方正小标宋简体"/>
          <w:b w:val="0"/>
          <w:bCs/>
          <w:color w:val="auto"/>
          <w:sz w:val="44"/>
          <w:szCs w:val="44"/>
        </w:rPr>
        <w:t>自贡市</w:t>
      </w:r>
      <w:r>
        <w:rPr>
          <w:rFonts w:hint="eastAsia" w:ascii="方正小标宋简体" w:hAnsi="方正小标宋简体" w:eastAsia="方正小标宋简体" w:cs="方正小标宋简体"/>
          <w:b w:val="0"/>
          <w:bCs/>
          <w:color w:val="auto"/>
          <w:sz w:val="44"/>
          <w:szCs w:val="44"/>
          <w:lang w:eastAsia="zh-CN"/>
        </w:rPr>
        <w:t>法学会</w:t>
      </w: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单位</w:t>
      </w:r>
      <w:r>
        <w:rPr>
          <w:rFonts w:hint="eastAsia" w:ascii="方正小标宋简体" w:hAnsi="方正小标宋简体" w:eastAsia="方正小标宋简体" w:cs="方正小标宋简体"/>
          <w:b w:val="0"/>
          <w:bCs/>
          <w:color w:val="auto"/>
          <w:sz w:val="44"/>
          <w:szCs w:val="44"/>
        </w:rPr>
        <w:t>预算编制的说明</w:t>
      </w: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Times New Roman" w:hAnsi="Times New Roman" w:eastAsia="黑体"/>
          <w:color w:val="auto"/>
          <w:sz w:val="48"/>
          <w:szCs w:val="48"/>
        </w:rPr>
      </w:pPr>
      <w:r>
        <w:rPr>
          <w:rFonts w:hint="eastAsia" w:ascii="Times New Roman" w:hAnsi="Times New Roman" w:eastAsia="黑体"/>
          <w:color w:val="auto"/>
          <w:sz w:val="48"/>
          <w:szCs w:val="48"/>
        </w:rPr>
        <w:t>目</w:t>
      </w:r>
      <w:r>
        <w:rPr>
          <w:rFonts w:hint="eastAsia" w:eastAsia="黑体"/>
          <w:color w:val="auto"/>
          <w:sz w:val="48"/>
          <w:szCs w:val="48"/>
          <w:lang w:val="en-US" w:eastAsia="zh-CN"/>
        </w:rPr>
        <w:t xml:space="preserve">  </w:t>
      </w:r>
      <w:r>
        <w:rPr>
          <w:rFonts w:hint="eastAsia" w:ascii="Times New Roman" w:hAnsi="Times New Roman" w:eastAsia="黑体"/>
          <w:color w:val="auto"/>
          <w:sz w:val="48"/>
          <w:szCs w:val="48"/>
        </w:rPr>
        <w:t>录</w:t>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28"/>
          <w:szCs w:val="28"/>
          <w:u w:val="single"/>
        </w:rPr>
        <w:fldChar w:fldCharType="begin"/>
      </w:r>
      <w:r>
        <w:rPr>
          <w:rStyle w:val="14"/>
          <w:rFonts w:hint="eastAsia" w:ascii="仿宋_GB2312" w:hAnsi="Times New Roman" w:eastAsia="仿宋_GB2312" w:cs="Times New Roman"/>
          <w:b w:val="0"/>
          <w:bCs w:val="0"/>
          <w:i w:val="0"/>
          <w:iCs w:val="0"/>
          <w:color w:val="0000FF"/>
          <w:sz w:val="28"/>
          <w:szCs w:val="28"/>
          <w:u w:val="single"/>
        </w:rPr>
        <w:instrText xml:space="preserve"> TOC \o "1-3" \h \z \u </w:instrText>
      </w:r>
      <w:r>
        <w:rPr>
          <w:rStyle w:val="14"/>
          <w:rFonts w:hint="eastAsia" w:ascii="仿宋_GB2312" w:hAnsi="Times New Roman" w:eastAsia="仿宋_GB2312" w:cs="Times New Roman"/>
          <w:b w:val="0"/>
          <w:bCs w:val="0"/>
          <w:i w:val="0"/>
          <w:iCs w:val="0"/>
          <w:color w:val="0000FF"/>
          <w:sz w:val="28"/>
          <w:szCs w:val="28"/>
          <w:u w:val="single"/>
        </w:rPr>
        <w:fldChar w:fldCharType="separate"/>
      </w:r>
      <w:r>
        <w:rPr>
          <w:rStyle w:val="14"/>
          <w:rFonts w:hint="eastAsia" w:ascii="仿宋_GB2312" w:hAnsi="Times New Roman" w:eastAsia="仿宋_GB2312" w:cs="Times New Roman"/>
          <w:b w:val="0"/>
          <w:bCs w:val="0"/>
          <w:i w:val="0"/>
          <w:iCs w:val="0"/>
          <w:color w:val="0000FF"/>
          <w:sz w:val="32"/>
          <w:szCs w:val="32"/>
          <w:u w:val="single"/>
        </w:rPr>
        <w:fldChar w:fldCharType="begin"/>
      </w:r>
      <w:r>
        <w:rPr>
          <w:rStyle w:val="14"/>
          <w:rFonts w:hint="eastAsia" w:ascii="仿宋_GB2312" w:hAnsi="Times New Roman" w:eastAsia="仿宋_GB2312" w:cs="Times New Roman"/>
          <w:b w:val="0"/>
          <w:bCs w:val="0"/>
          <w:i w:val="0"/>
          <w:iCs w:val="0"/>
          <w:color w:val="0000FF"/>
          <w:sz w:val="32"/>
          <w:szCs w:val="32"/>
          <w:u w:val="single"/>
        </w:rPr>
        <w:instrText xml:space="preserve"> HYPERLINK \l _Toc13334 </w:instrText>
      </w:r>
      <w:r>
        <w:rPr>
          <w:rStyle w:val="14"/>
          <w:rFonts w:hint="eastAsia" w:ascii="仿宋_GB2312" w:hAnsi="Times New Roman" w:eastAsia="仿宋_GB2312" w:cs="Times New Roman"/>
          <w:b w:val="0"/>
          <w:bCs w:val="0"/>
          <w:i w:val="0"/>
          <w:iCs w:val="0"/>
          <w:color w:val="0000FF"/>
          <w:sz w:val="32"/>
          <w:szCs w:val="32"/>
          <w:u w:val="single"/>
        </w:rPr>
        <w:fldChar w:fldCharType="separate"/>
      </w:r>
      <w:r>
        <w:rPr>
          <w:rStyle w:val="14"/>
          <w:rFonts w:hint="eastAsia" w:ascii="仿宋_GB2312" w:hAnsi="Times New Roman" w:eastAsia="仿宋_GB2312" w:cs="Times New Roman"/>
          <w:b w:val="0"/>
          <w:bCs w:val="0"/>
          <w:i w:val="0"/>
          <w:iCs w:val="0"/>
          <w:color w:val="0000FF"/>
          <w:sz w:val="32"/>
          <w:szCs w:val="32"/>
          <w:u w:val="single"/>
        </w:rPr>
        <w:t>一、基本职能及主要工作</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1</w:t>
      </w:r>
      <w:r>
        <w:rPr>
          <w:rStyle w:val="14"/>
          <w:rFonts w:hint="eastAsia" w:ascii="仿宋_GB2312" w:hAnsi="Times New Roman" w:eastAsia="仿宋_GB2312" w:cs="Times New Roman"/>
          <w:b w:val="0"/>
          <w:bCs w:val="0"/>
          <w:i w:val="0"/>
          <w:iCs w:val="0"/>
          <w:color w:val="0000FF"/>
          <w:sz w:val="32"/>
          <w:szCs w:val="32"/>
          <w:u w:val="single"/>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_Toc11474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（一）</w:t>
      </w:r>
      <w:r>
        <w:rPr>
          <w:rStyle w:val="14"/>
          <w:rFonts w:hint="eastAsia" w:ascii="仿宋_GB2312" w:hAnsi="Times New Roman" w:eastAsia="仿宋_GB2312" w:cs="Times New Roman"/>
          <w:b w:val="0"/>
          <w:bCs w:val="0"/>
          <w:i w:val="0"/>
          <w:iCs w:val="0"/>
          <w:color w:val="0000FF"/>
          <w:sz w:val="32"/>
          <w:szCs w:val="32"/>
          <w:u w:val="single"/>
          <w:lang w:eastAsia="zh-CN"/>
        </w:rPr>
        <w:t>自贡市法学会单位</w:t>
      </w:r>
      <w:r>
        <w:rPr>
          <w:rStyle w:val="14"/>
          <w:rFonts w:hint="eastAsia" w:ascii="仿宋_GB2312" w:hAnsi="Times New Roman" w:eastAsia="仿宋_GB2312" w:cs="Times New Roman"/>
          <w:b w:val="0"/>
          <w:bCs w:val="0"/>
          <w:i w:val="0"/>
          <w:iCs w:val="0"/>
          <w:color w:val="0000FF"/>
          <w:sz w:val="32"/>
          <w:szCs w:val="32"/>
          <w:u w:val="single"/>
        </w:rPr>
        <w:t>职能简介</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1</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_Toc30740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（二）</w:t>
      </w:r>
      <w:r>
        <w:rPr>
          <w:rStyle w:val="14"/>
          <w:rFonts w:hint="eastAsia" w:ascii="仿宋_GB2312" w:hAnsi="Times New Roman" w:eastAsia="仿宋_GB2312" w:cs="Times New Roman"/>
          <w:b w:val="0"/>
          <w:bCs w:val="0"/>
          <w:i w:val="0"/>
          <w:iCs w:val="0"/>
          <w:color w:val="0000FF"/>
          <w:sz w:val="32"/>
          <w:szCs w:val="32"/>
          <w:u w:val="single"/>
          <w:lang w:eastAsia="zh-CN"/>
        </w:rPr>
        <w:t>自贡市法学会单位</w:t>
      </w:r>
      <w:r>
        <w:rPr>
          <w:rStyle w:val="14"/>
          <w:rFonts w:hint="default" w:ascii="Times New Roman" w:hAnsi="Times New Roman" w:eastAsia="仿宋_GB2312" w:cs="Times New Roman"/>
          <w:b w:val="0"/>
          <w:bCs w:val="0"/>
          <w:i w:val="0"/>
          <w:iCs w:val="0"/>
          <w:color w:val="0000FF"/>
          <w:sz w:val="32"/>
          <w:szCs w:val="32"/>
          <w:u w:val="single"/>
        </w:rPr>
        <w:t>202</w:t>
      </w:r>
      <w:r>
        <w:rPr>
          <w:rStyle w:val="14"/>
          <w:rFonts w:hint="default" w:ascii="Times New Roman" w:hAnsi="Times New Roman" w:eastAsia="仿宋_GB2312" w:cs="Times New Roman"/>
          <w:b w:val="0"/>
          <w:bCs w:val="0"/>
          <w:i w:val="0"/>
          <w:iCs w:val="0"/>
          <w:color w:val="0000FF"/>
          <w:sz w:val="32"/>
          <w:szCs w:val="32"/>
          <w:u w:val="single"/>
          <w:lang w:val="en-US" w:eastAsia="zh-CN"/>
        </w:rPr>
        <w:t>4</w:t>
      </w:r>
      <w:r>
        <w:rPr>
          <w:rStyle w:val="14"/>
          <w:rFonts w:hint="eastAsia" w:ascii="仿宋_GB2312" w:hAnsi="Times New Roman" w:eastAsia="仿宋_GB2312" w:cs="Times New Roman"/>
          <w:b w:val="0"/>
          <w:bCs w:val="0"/>
          <w:i w:val="0"/>
          <w:iCs w:val="0"/>
          <w:color w:val="0000FF"/>
          <w:sz w:val="32"/>
          <w:szCs w:val="32"/>
          <w:u w:val="single"/>
        </w:rPr>
        <w:t>年重点工作</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1</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_Toc29979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二、</w:t>
      </w:r>
      <w:r>
        <w:rPr>
          <w:rStyle w:val="14"/>
          <w:rFonts w:hint="eastAsia" w:ascii="仿宋_GB2312" w:hAnsi="Times New Roman" w:eastAsia="仿宋_GB2312" w:cs="Times New Roman"/>
          <w:b w:val="0"/>
          <w:bCs w:val="0"/>
          <w:i w:val="0"/>
          <w:iCs w:val="0"/>
          <w:color w:val="0000FF"/>
          <w:sz w:val="32"/>
          <w:szCs w:val="32"/>
          <w:u w:val="single"/>
          <w:lang w:eastAsia="zh-CN"/>
        </w:rPr>
        <w:t>单位</w:t>
      </w:r>
      <w:r>
        <w:rPr>
          <w:rStyle w:val="14"/>
          <w:rFonts w:hint="eastAsia" w:ascii="仿宋_GB2312" w:hAnsi="Times New Roman" w:eastAsia="仿宋_GB2312" w:cs="Times New Roman"/>
          <w:b w:val="0"/>
          <w:bCs w:val="0"/>
          <w:i w:val="0"/>
          <w:iCs w:val="0"/>
          <w:color w:val="0000FF"/>
          <w:sz w:val="32"/>
          <w:szCs w:val="32"/>
          <w:u w:val="single"/>
        </w:rPr>
        <w:t>概况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2</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_Toc9229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三、收支预算情况说明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2</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_Toc7638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lang w:eastAsia="zh-CN"/>
        </w:rPr>
        <w:t>（一）</w:t>
      </w:r>
      <w:r>
        <w:rPr>
          <w:rStyle w:val="14"/>
          <w:rFonts w:hint="eastAsia" w:ascii="仿宋_GB2312" w:hAnsi="Times New Roman" w:eastAsia="仿宋_GB2312" w:cs="Times New Roman"/>
          <w:b w:val="0"/>
          <w:bCs w:val="0"/>
          <w:i w:val="0"/>
          <w:iCs w:val="0"/>
          <w:color w:val="0000FF"/>
          <w:sz w:val="32"/>
          <w:szCs w:val="32"/>
          <w:u w:val="single"/>
        </w:rPr>
        <w:t>收入预算情况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3</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_Toc29332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lang w:eastAsia="zh-CN"/>
        </w:rPr>
        <w:t>（二）</w:t>
      </w:r>
      <w:r>
        <w:rPr>
          <w:rStyle w:val="14"/>
          <w:rFonts w:hint="eastAsia" w:ascii="仿宋_GB2312" w:hAnsi="Times New Roman" w:eastAsia="仿宋_GB2312" w:cs="Times New Roman"/>
          <w:b w:val="0"/>
          <w:bCs w:val="0"/>
          <w:i w:val="0"/>
          <w:iCs w:val="0"/>
          <w:color w:val="0000FF"/>
          <w:sz w:val="32"/>
          <w:szCs w:val="32"/>
          <w:u w:val="single"/>
        </w:rPr>
        <w:t>支出预算情况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3</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_Toc27708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四、财政拨款收支预算情况说明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3</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_Toc7435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五、一般公共预算当年拨款情况说明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3</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_Toc24823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（一）一般公共预算当年拨款规模变化情况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3</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_Toc17179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 xml:space="preserve">（二）一般公共预算当年拨款结构情况 </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4</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_Toc16418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（三）一般公共预算当年拨款具体使用情况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4</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_Toc5924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六、一般公共预算基本支出情况说明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5</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_Toc16014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七、</w:t>
      </w:r>
      <w:r>
        <w:rPr>
          <w:rStyle w:val="14"/>
          <w:rFonts w:hint="eastAsia" w:ascii="仿宋_GB2312" w:hAnsi="仿宋_GB2312" w:eastAsia="仿宋_GB2312" w:cs="仿宋_GB2312"/>
          <w:b w:val="0"/>
          <w:bCs w:val="0"/>
          <w:i w:val="0"/>
          <w:iCs w:val="0"/>
          <w:color w:val="0000FF"/>
          <w:sz w:val="32"/>
          <w:szCs w:val="32"/>
          <w:u w:val="single"/>
        </w:rPr>
        <w:t>“</w:t>
      </w:r>
      <w:r>
        <w:rPr>
          <w:rStyle w:val="14"/>
          <w:rFonts w:hint="eastAsia" w:ascii="仿宋_GB2312" w:hAnsi="Times New Roman" w:eastAsia="仿宋_GB2312" w:cs="Times New Roman"/>
          <w:b w:val="0"/>
          <w:bCs w:val="0"/>
          <w:i w:val="0"/>
          <w:iCs w:val="0"/>
          <w:color w:val="0000FF"/>
          <w:sz w:val="32"/>
          <w:szCs w:val="32"/>
          <w:u w:val="single"/>
        </w:rPr>
        <w:t>三公</w:t>
      </w:r>
      <w:r>
        <w:rPr>
          <w:rStyle w:val="14"/>
          <w:rFonts w:hint="eastAsia" w:ascii="仿宋_GB2312" w:hAnsi="仿宋_GB2312" w:eastAsia="仿宋_GB2312" w:cs="仿宋_GB2312"/>
          <w:b w:val="0"/>
          <w:bCs w:val="0"/>
          <w:i w:val="0"/>
          <w:iCs w:val="0"/>
          <w:color w:val="0000FF"/>
          <w:sz w:val="32"/>
          <w:szCs w:val="32"/>
          <w:u w:val="single"/>
        </w:rPr>
        <w:t>”</w:t>
      </w:r>
      <w:r>
        <w:rPr>
          <w:rStyle w:val="14"/>
          <w:rFonts w:hint="eastAsia" w:ascii="仿宋_GB2312" w:hAnsi="Times New Roman" w:eastAsia="仿宋_GB2312" w:cs="Times New Roman"/>
          <w:b w:val="0"/>
          <w:bCs w:val="0"/>
          <w:i w:val="0"/>
          <w:iCs w:val="0"/>
          <w:color w:val="0000FF"/>
          <w:sz w:val="32"/>
          <w:szCs w:val="32"/>
          <w:u w:val="single"/>
        </w:rPr>
        <w:t>经费财政拨款预算安排情况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5</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_Toc16117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八、政府性基金预算支出情况说明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_Toc9727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九、国有资本经营预算支出情况说明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_Toc5009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十、其他重要事项的情况说明</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_Toc4219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（一）机关运行经费情况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_Toc32716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（二）政府采购情况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lang w:val="zh-CN"/>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_Toc6880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（三）国有资产占有使用情况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6</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32"/>
          <w:szCs w:val="32"/>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_Toc6880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（三）</w:t>
      </w:r>
      <w:r>
        <w:rPr>
          <w:rStyle w:val="14"/>
          <w:rFonts w:hint="eastAsia" w:ascii="仿宋_GB2312" w:hAnsi="Times New Roman" w:eastAsia="仿宋_GB2312" w:cs="Times New Roman"/>
          <w:b w:val="0"/>
          <w:bCs w:val="0"/>
          <w:i w:val="0"/>
          <w:iCs w:val="0"/>
          <w:color w:val="0000FF"/>
          <w:sz w:val="32"/>
          <w:szCs w:val="32"/>
          <w:u w:val="single"/>
          <w:lang w:val="en-US" w:eastAsia="zh-CN"/>
        </w:rPr>
        <w:t>绩效目标设置</w:t>
      </w:r>
      <w:r>
        <w:rPr>
          <w:rStyle w:val="14"/>
          <w:rFonts w:hint="eastAsia" w:ascii="仿宋_GB2312" w:hAnsi="Times New Roman" w:eastAsia="仿宋_GB2312" w:cs="Times New Roman"/>
          <w:b w:val="0"/>
          <w:bCs w:val="0"/>
          <w:i w:val="0"/>
          <w:iCs w:val="0"/>
          <w:color w:val="0000FF"/>
          <w:sz w:val="32"/>
          <w:szCs w:val="32"/>
          <w:u w:val="single"/>
        </w:rPr>
        <w:t>情况</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7</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Style w:val="14"/>
          <w:rFonts w:hint="eastAsia" w:ascii="仿宋_GB2312" w:hAnsi="Times New Roman" w:eastAsia="仿宋_GB2312" w:cs="Times New Roman"/>
          <w:b w:val="0"/>
          <w:bCs w:val="0"/>
          <w:i w:val="0"/>
          <w:iCs w:val="0"/>
          <w:color w:val="0000FF"/>
          <w:sz w:val="28"/>
          <w:szCs w:val="28"/>
          <w:u w:val="single"/>
        </w:rPr>
      </w:pPr>
      <w:r>
        <w:rPr>
          <w:rStyle w:val="14"/>
          <w:rFonts w:hint="eastAsia" w:ascii="仿宋_GB2312" w:hAnsi="Times New Roman" w:eastAsia="仿宋_GB2312" w:cs="Times New Roman"/>
          <w:b w:val="0"/>
          <w:bCs w:val="0"/>
          <w:i w:val="0"/>
          <w:iCs w:val="0"/>
          <w:color w:val="0000FF"/>
          <w:sz w:val="32"/>
          <w:szCs w:val="32"/>
          <w:u w:val="single"/>
          <w:lang w:val="zh-CN"/>
        </w:rPr>
        <w:fldChar w:fldCharType="begin"/>
      </w:r>
      <w:r>
        <w:rPr>
          <w:rStyle w:val="14"/>
          <w:rFonts w:hint="eastAsia" w:ascii="仿宋_GB2312" w:hAnsi="Times New Roman" w:eastAsia="仿宋_GB2312" w:cs="Times New Roman"/>
          <w:b w:val="0"/>
          <w:bCs w:val="0"/>
          <w:i w:val="0"/>
          <w:iCs w:val="0"/>
          <w:color w:val="0000FF"/>
          <w:sz w:val="32"/>
          <w:szCs w:val="32"/>
          <w:u w:val="single"/>
          <w:lang w:val="zh-CN"/>
        </w:rPr>
        <w:instrText xml:space="preserve"> HYPERLINK \l _Toc31993 </w:instrText>
      </w:r>
      <w:r>
        <w:rPr>
          <w:rStyle w:val="14"/>
          <w:rFonts w:hint="eastAsia" w:ascii="仿宋_GB2312" w:hAnsi="Times New Roman" w:eastAsia="仿宋_GB2312" w:cs="Times New Roman"/>
          <w:b w:val="0"/>
          <w:bCs w:val="0"/>
          <w:i w:val="0"/>
          <w:iCs w:val="0"/>
          <w:color w:val="0000FF"/>
          <w:sz w:val="32"/>
          <w:szCs w:val="32"/>
          <w:u w:val="single"/>
          <w:lang w:val="zh-CN"/>
        </w:rPr>
        <w:fldChar w:fldCharType="separate"/>
      </w:r>
      <w:r>
        <w:rPr>
          <w:rStyle w:val="14"/>
          <w:rFonts w:hint="eastAsia" w:ascii="仿宋_GB2312" w:hAnsi="Times New Roman" w:eastAsia="仿宋_GB2312" w:cs="Times New Roman"/>
          <w:b w:val="0"/>
          <w:bCs w:val="0"/>
          <w:i w:val="0"/>
          <w:iCs w:val="0"/>
          <w:color w:val="0000FF"/>
          <w:sz w:val="32"/>
          <w:szCs w:val="32"/>
          <w:u w:val="single"/>
        </w:rPr>
        <w:t>十一、名词解释</w:t>
      </w:r>
      <w:r>
        <w:rPr>
          <w:rStyle w:val="14"/>
          <w:rFonts w:hint="eastAsia" w:ascii="仿宋_GB2312" w:hAnsi="Times New Roman" w:eastAsia="仿宋_GB2312" w:cs="Times New Roman"/>
          <w:b w:val="0"/>
          <w:bCs w:val="0"/>
          <w:i w:val="0"/>
          <w:iCs w:val="0"/>
          <w:color w:val="0000FF"/>
          <w:sz w:val="32"/>
          <w:szCs w:val="32"/>
          <w:u w:val="single"/>
        </w:rPr>
        <w:tab/>
      </w:r>
      <w:r>
        <w:rPr>
          <w:rStyle w:val="14"/>
          <w:rFonts w:hint="eastAsia" w:ascii="Times New Roman" w:eastAsia="仿宋_GB2312" w:cs="Times New Roman"/>
          <w:b w:val="0"/>
          <w:bCs w:val="0"/>
          <w:i w:val="0"/>
          <w:iCs w:val="0"/>
          <w:color w:val="0000FF"/>
          <w:sz w:val="32"/>
          <w:szCs w:val="32"/>
          <w:u w:val="single"/>
          <w:lang w:val="en-US" w:eastAsia="zh-CN"/>
        </w:rPr>
        <w:t>7</w:t>
      </w:r>
      <w:r>
        <w:rPr>
          <w:rStyle w:val="14"/>
          <w:rFonts w:hint="eastAsia" w:ascii="仿宋_GB2312" w:hAnsi="Times New Roman" w:eastAsia="仿宋_GB2312" w:cs="Times New Roman"/>
          <w:b w:val="0"/>
          <w:bCs w:val="0"/>
          <w:i w:val="0"/>
          <w:iCs w:val="0"/>
          <w:color w:val="0000FF"/>
          <w:sz w:val="32"/>
          <w:szCs w:val="32"/>
          <w:u w:val="single"/>
          <w:lang w:val="zh-CN"/>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Times New Roman" w:hAnsi="Times New Roman" w:eastAsia="仿宋_GB2312"/>
          <w:b w:val="0"/>
          <w:bCs w:val="0"/>
          <w:i w:val="0"/>
          <w:iCs w:val="0"/>
          <w:color w:val="0000FF"/>
          <w:sz w:val="28"/>
          <w:szCs w:val="28"/>
        </w:rPr>
      </w:pPr>
      <w:r>
        <w:rPr>
          <w:rStyle w:val="14"/>
          <w:rFonts w:hint="eastAsia" w:ascii="仿宋_GB2312" w:hAnsi="Times New Roman" w:eastAsia="仿宋_GB2312" w:cs="Times New Roman"/>
          <w:b w:val="0"/>
          <w:bCs w:val="0"/>
          <w:i w:val="0"/>
          <w:iCs w:val="0"/>
          <w:color w:val="0000FF"/>
          <w:sz w:val="28"/>
          <w:szCs w:val="28"/>
          <w:u w:val="single"/>
          <w:lang w:val="zh-CN"/>
        </w:rPr>
        <w:fldChar w:fldCharType="end"/>
      </w:r>
    </w:p>
    <w:p>
      <w:pPr>
        <w:jc w:val="center"/>
        <w:rPr>
          <w:rFonts w:ascii="Times New Roman" w:hAnsi="Times New Roman" w:eastAsia="仿宋_GB2312"/>
          <w:color w:val="0000FF"/>
          <w:sz w:val="32"/>
          <w:szCs w:val="32"/>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jc w:val="center"/>
        <w:rPr>
          <w:rFonts w:ascii="Times New Roman" w:hAnsi="Times New Roman" w:eastAsia="仿宋_GB2312"/>
          <w:color w:val="0000FF"/>
          <w:sz w:val="28"/>
          <w:szCs w:val="28"/>
          <w:lang w:val="zh-CN"/>
        </w:rPr>
      </w:pPr>
    </w:p>
    <w:p>
      <w:pPr>
        <w:rPr>
          <w:rFonts w:hint="eastAsia" w:ascii="Times New Roman" w:hAnsi="Times New Roman" w:eastAsia="黑体"/>
          <w:color w:val="0000FF"/>
          <w:sz w:val="32"/>
          <w:szCs w:val="32"/>
        </w:rPr>
        <w:sectPr>
          <w:footerReference r:id="rId3" w:type="default"/>
          <w:footerReference r:id="rId4" w:type="even"/>
          <w:pgSz w:w="11906" w:h="16838"/>
          <w:pgMar w:top="1871" w:right="1531" w:bottom="1871" w:left="1531" w:header="851" w:footer="992" w:gutter="0"/>
          <w:pgNumType w:fmt="decimal" w:start="1"/>
          <w:cols w:space="720" w:num="1"/>
          <w:docGrid w:type="lines" w:linePitch="312" w:charSpace="0"/>
        </w:sectPr>
      </w:pPr>
    </w:p>
    <w:p>
      <w:pPr>
        <w:pStyle w:val="3"/>
        <w:keepNext w:val="0"/>
        <w:keepLines w:val="0"/>
        <w:pageBreakBefore w:val="0"/>
        <w:widowControl w:val="0"/>
        <w:numPr>
          <w:ilvl w:val="0"/>
          <w:numId w:val="1"/>
        </w:numPr>
        <w:kinsoku/>
        <w:wordWrap/>
        <w:overflowPunct/>
        <w:topLinePunct w:val="0"/>
        <w:bidi w:val="0"/>
        <w:adjustRightInd/>
        <w:snapToGrid/>
        <w:spacing w:beforeLines="0" w:afterLines="0" w:line="590" w:lineRule="exact"/>
        <w:ind w:firstLineChars="0"/>
        <w:jc w:val="both"/>
        <w:textAlignment w:val="auto"/>
        <w:rPr>
          <w:rFonts w:hint="eastAsia" w:ascii="黑体" w:hAnsi="黑体" w:eastAsia="黑体" w:cs="黑体"/>
          <w:b w:val="0"/>
          <w:bCs/>
          <w:color w:val="auto"/>
        </w:rPr>
      </w:pPr>
      <w:bookmarkStart w:id="0" w:name="_Toc13334"/>
      <w:r>
        <w:rPr>
          <w:rFonts w:hint="eastAsia" w:ascii="黑体" w:hAnsi="黑体" w:eastAsia="黑体" w:cs="黑体"/>
          <w:b w:val="0"/>
          <w:bCs/>
          <w:color w:val="auto"/>
        </w:rPr>
        <w:t>基本职能及主要工作</w:t>
      </w:r>
      <w:bookmarkEnd w:id="0"/>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1" w:name="_Toc11474"/>
      <w:r>
        <w:rPr>
          <w:rFonts w:hint="eastAsia" w:ascii="Times New Roman" w:hAnsi="Times New Roman" w:eastAsia="楷体_GB2312" w:cs="楷体_GB2312"/>
          <w:b w:val="0"/>
          <w:bCs w:val="0"/>
          <w:color w:val="auto"/>
          <w:sz w:val="32"/>
          <w:szCs w:val="32"/>
          <w:lang w:eastAsia="zh-CN"/>
        </w:rPr>
        <w:t>（一）自贡市法学会单位职能简介</w:t>
      </w:r>
      <w:bookmarkEnd w:id="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bookmarkStart w:id="2" w:name="_Toc30740"/>
      <w:r>
        <w:rPr>
          <w:rFonts w:hint="eastAsia" w:ascii="仿宋_GB2312" w:hAnsi="仿宋"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eastAsia="zh-CN"/>
        </w:rPr>
        <w:t>1</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sz w:val="32"/>
          <w:szCs w:val="32"/>
          <w:highlight w:val="none"/>
          <w:lang w:eastAsia="zh-CN"/>
        </w:rPr>
        <w:t>承担开展法学课题研究、举办参加法治论坛、参与立法决策咨询、促进法学会研究成果推广和转化等工作</w:t>
      </w:r>
      <w:r>
        <w:rPr>
          <w:rFonts w:hint="eastAsia" w:ascii="仿宋_GB2312" w:hAnsi="仿宋"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eastAsia="zh-CN"/>
        </w:rPr>
        <w:t>2</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sz w:val="32"/>
          <w:szCs w:val="32"/>
          <w:highlight w:val="none"/>
        </w:rPr>
        <w:t>组织法学法律专家人才开展法律咨询、培训和其他法律服务</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eastAsia="zh-CN"/>
        </w:rPr>
        <w:t>3</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sz w:val="32"/>
          <w:szCs w:val="32"/>
          <w:highlight w:val="none"/>
        </w:rPr>
        <w:t>承担法学会会员服务和管理工作。</w:t>
      </w:r>
    </w:p>
    <w:p>
      <w:pPr>
        <w:keepNext w:val="0"/>
        <w:keepLines w:val="0"/>
        <w:pageBreakBefore w:val="0"/>
        <w:widowControl w:val="0"/>
        <w:kinsoku/>
        <w:wordWrap/>
        <w:overflowPunct/>
        <w:topLinePunct w:val="0"/>
        <w:bidi w:val="0"/>
        <w:adjustRightInd/>
        <w:snapToGrid/>
        <w:spacing w:line="590" w:lineRule="exact"/>
        <w:jc w:val="both"/>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eastAsia="zh-CN"/>
        </w:rPr>
        <w:t>（四）</w:t>
      </w:r>
      <w:r>
        <w:rPr>
          <w:rFonts w:hint="eastAsia" w:ascii="仿宋_GB2312" w:hAnsi="仿宋" w:eastAsia="仿宋_GB2312" w:cs="Times New Roman"/>
          <w:sz w:val="32"/>
          <w:szCs w:val="32"/>
          <w:highlight w:val="none"/>
        </w:rPr>
        <w:t>承担指导区</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县</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法学会和直属研究会工作</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4</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参与法学教育及法治人才培养工作。</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5</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参与法治宣传，收集和传播市内外法学动态，宣传和推广创新研究成果，编辑出版法学期刊等</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6</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完成市委政法委交办的其他事项。</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r>
        <w:rPr>
          <w:rFonts w:hint="eastAsia" w:ascii="Times New Roman" w:hAnsi="Times New Roman" w:eastAsia="楷体_GB2312" w:cs="楷体_GB2312"/>
          <w:b w:val="0"/>
          <w:bCs w:val="0"/>
          <w:color w:val="auto"/>
          <w:sz w:val="32"/>
          <w:szCs w:val="32"/>
          <w:lang w:eastAsia="zh-CN"/>
        </w:rPr>
        <w:t>（二）自贡市法学会单位</w:t>
      </w:r>
      <w:r>
        <w:rPr>
          <w:rFonts w:hint="default" w:ascii="Times New Roman" w:hAnsi="Times New Roman" w:eastAsia="楷体_GB2312" w:cs="Times New Roman"/>
          <w:b w:val="0"/>
          <w:bCs w:val="0"/>
          <w:color w:val="auto"/>
          <w:sz w:val="32"/>
          <w:szCs w:val="32"/>
          <w:lang w:eastAsia="zh-CN"/>
        </w:rPr>
        <w:t>202</w:t>
      </w:r>
      <w:r>
        <w:rPr>
          <w:rFonts w:hint="default" w:ascii="Times New Roman" w:hAnsi="Times New Roman" w:eastAsia="楷体_GB2312" w:cs="Times New Roman"/>
          <w:b w:val="0"/>
          <w:bCs w:val="0"/>
          <w:color w:val="auto"/>
          <w:sz w:val="32"/>
          <w:szCs w:val="32"/>
          <w:lang w:val="en-US" w:eastAsia="zh-CN"/>
        </w:rPr>
        <w:t>4</w:t>
      </w:r>
      <w:r>
        <w:rPr>
          <w:rFonts w:hint="eastAsia" w:ascii="Times New Roman" w:hAnsi="Times New Roman" w:eastAsia="楷体_GB2312" w:cs="楷体_GB2312"/>
          <w:b w:val="0"/>
          <w:bCs w:val="0"/>
          <w:color w:val="auto"/>
          <w:sz w:val="32"/>
          <w:szCs w:val="32"/>
          <w:lang w:eastAsia="zh-CN"/>
        </w:rPr>
        <w:t>年重点工作</w:t>
      </w:r>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bookmarkStart w:id="3" w:name="_Toc29979"/>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自贡市法学会将坚持以习近平新时代中国特色社会主义思想为指导，深入学习贯彻</w:t>
      </w:r>
      <w:r>
        <w:rPr>
          <w:rFonts w:hint="eastAsia" w:ascii="仿宋_GB2312" w:hAnsi="仿宋_GB2312" w:eastAsia="仿宋_GB2312" w:cs="仿宋_GB2312"/>
          <w:sz w:val="32"/>
          <w:szCs w:val="32"/>
        </w:rPr>
        <w:t>党的二十大精神</w:t>
      </w:r>
      <w:r>
        <w:rPr>
          <w:rFonts w:hint="eastAsia" w:ascii="仿宋_GB2312" w:hAnsi="仿宋_GB2312" w:eastAsia="仿宋_GB2312" w:cs="仿宋_GB2312"/>
          <w:sz w:val="32"/>
          <w:szCs w:val="32"/>
          <w:lang w:eastAsia="zh-CN"/>
        </w:rPr>
        <w:t>和习近平法治思想，</w:t>
      </w:r>
      <w:r>
        <w:rPr>
          <w:rFonts w:hint="eastAsia" w:ascii="仿宋_GB2312" w:hAnsi="仿宋_GB2312" w:eastAsia="仿宋_GB2312" w:cs="仿宋_GB2312"/>
          <w:sz w:val="32"/>
          <w:szCs w:val="32"/>
          <w:lang w:val="en-US" w:eastAsia="zh-CN"/>
        </w:rPr>
        <w:t>紧紧围绕“五化”目标，抓实五项工作措施，推进法学会工作再上新台阶。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抓好思想理论武装</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坚持把</w:t>
      </w:r>
      <w:r>
        <w:rPr>
          <w:rFonts w:hint="eastAsia" w:ascii="仿宋_GB2312" w:hAnsi="仿宋_GB2312" w:eastAsia="仿宋_GB2312" w:cs="仿宋_GB2312"/>
          <w:sz w:val="32"/>
          <w:szCs w:val="32"/>
        </w:rPr>
        <w:t>学习贯彻</w:t>
      </w:r>
      <w:r>
        <w:rPr>
          <w:rFonts w:hint="eastAsia" w:ascii="仿宋_GB2312" w:hAnsi="仿宋_GB2312" w:eastAsia="仿宋_GB2312" w:cs="仿宋_GB2312"/>
          <w:sz w:val="32"/>
          <w:szCs w:val="32"/>
          <w:lang w:val="en-US" w:eastAsia="zh-CN"/>
        </w:rPr>
        <w:t>习近平新时代中国特色社会主义思想、</w:t>
      </w:r>
      <w:r>
        <w:rPr>
          <w:rFonts w:hint="eastAsia" w:ascii="仿宋_GB2312" w:hAnsi="仿宋_GB2312" w:eastAsia="仿宋_GB2312" w:cs="仿宋_GB2312"/>
          <w:sz w:val="32"/>
          <w:szCs w:val="32"/>
        </w:rPr>
        <w:t>党的二十大精神和习近平法治思想</w:t>
      </w:r>
      <w:r>
        <w:rPr>
          <w:rFonts w:hint="eastAsia" w:ascii="仿宋_GB2312" w:hAnsi="仿宋_GB2312" w:eastAsia="仿宋_GB2312" w:cs="仿宋_GB2312"/>
          <w:sz w:val="32"/>
          <w:szCs w:val="32"/>
          <w:lang w:eastAsia="zh-CN"/>
        </w:rPr>
        <w:t>作为首要政治任务，</w:t>
      </w:r>
      <w:r>
        <w:rPr>
          <w:rFonts w:hint="eastAsia" w:ascii="仿宋_GB2312" w:hAnsi="仿宋_GB2312" w:eastAsia="仿宋_GB2312" w:cs="仿宋_GB2312"/>
          <w:sz w:val="32"/>
          <w:szCs w:val="32"/>
          <w:lang w:val="en-US" w:eastAsia="zh-CN"/>
        </w:rPr>
        <w:t>通过举办研讨班、征文评比、演讲比赛等形式，带领</w:t>
      </w:r>
      <w:r>
        <w:rPr>
          <w:rFonts w:hint="eastAsia" w:ascii="仿宋_GB2312" w:hAnsi="仿宋_GB2312" w:eastAsia="仿宋_GB2312" w:cs="仿宋_GB2312"/>
          <w:sz w:val="32"/>
          <w:szCs w:val="32"/>
        </w:rPr>
        <w:t>广大法学法律工作者</w:t>
      </w:r>
      <w:r>
        <w:rPr>
          <w:rFonts w:hint="eastAsia" w:ascii="仿宋_GB2312" w:hAnsi="仿宋_GB2312" w:eastAsia="仿宋_GB2312" w:cs="仿宋_GB2312"/>
          <w:sz w:val="32"/>
          <w:szCs w:val="32"/>
          <w:lang w:val="en-US" w:eastAsia="zh-CN"/>
        </w:rPr>
        <w:t>全面深入学习、把握、理解党中央各项部署要求，始终坚定正确政治方向。</w:t>
      </w:r>
      <w:r>
        <w:rPr>
          <w:rFonts w:hint="eastAsia" w:ascii="仿宋_GB2312" w:hAnsi="仿宋_GB2312" w:eastAsia="仿宋_GB2312" w:cs="仿宋_GB2312"/>
          <w:b/>
          <w:bCs/>
          <w:sz w:val="32"/>
          <w:szCs w:val="32"/>
          <w:lang w:val="en-US" w:eastAsia="zh-CN"/>
        </w:rPr>
        <w:t>二是积极搭建载体平台。</w:t>
      </w:r>
      <w:r>
        <w:rPr>
          <w:rFonts w:hint="eastAsia" w:ascii="仿宋_GB2312" w:hAnsi="仿宋_GB2312" w:eastAsia="仿宋_GB2312" w:cs="仿宋_GB2312"/>
          <w:sz w:val="32"/>
          <w:szCs w:val="32"/>
          <w:lang w:val="en-US" w:eastAsia="zh-CN"/>
        </w:rPr>
        <w:t>高质量运行自贡市法学会融媒体中心，打造融媒体创新品牌，持续开展“双百”“基层行”活动进社区、进学校、进企业、进工地，最大限度托面扩线。高质量打造《自贡政法》《百姓看法》等刊物、栏目、节目，不断提升传播力和影响力。</w:t>
      </w:r>
      <w:r>
        <w:rPr>
          <w:rFonts w:hint="eastAsia" w:ascii="仿宋_GB2312" w:hAnsi="仿宋_GB2312" w:eastAsia="仿宋_GB2312" w:cs="仿宋_GB2312"/>
          <w:b/>
          <w:bCs/>
          <w:sz w:val="32"/>
          <w:szCs w:val="32"/>
          <w:lang w:val="en-US" w:eastAsia="zh-CN"/>
        </w:rPr>
        <w:t>三是大力提高服务水平。</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首席法律咨询专家制度，</w:t>
      </w:r>
      <w:r>
        <w:rPr>
          <w:rFonts w:hint="eastAsia" w:ascii="仿宋_GB2312" w:hAnsi="仿宋_GB2312" w:eastAsia="仿宋_GB2312" w:cs="仿宋_GB2312"/>
          <w:sz w:val="32"/>
          <w:szCs w:val="32"/>
          <w:lang w:eastAsia="zh-CN"/>
        </w:rPr>
        <w:t>积极推出</w:t>
      </w:r>
      <w:r>
        <w:rPr>
          <w:rFonts w:hint="eastAsia" w:ascii="仿宋_GB2312" w:hAnsi="仿宋_GB2312" w:eastAsia="仿宋_GB2312" w:cs="仿宋_GB2312"/>
          <w:sz w:val="32"/>
          <w:szCs w:val="32"/>
        </w:rPr>
        <w:t>具有自贡特色的典型经验</w:t>
      </w:r>
      <w:r>
        <w:rPr>
          <w:rFonts w:hint="eastAsia" w:ascii="仿宋_GB2312" w:hAnsi="仿宋_GB2312" w:eastAsia="仿宋_GB2312" w:cs="仿宋_GB2312"/>
          <w:sz w:val="32"/>
          <w:szCs w:val="32"/>
          <w:lang w:eastAsia="zh-CN"/>
        </w:rPr>
        <w:t>和案例。持续</w:t>
      </w:r>
      <w:r>
        <w:rPr>
          <w:rFonts w:hint="eastAsia" w:ascii="仿宋_GB2312" w:hAnsi="仿宋_GB2312" w:eastAsia="仿宋_GB2312" w:cs="仿宋_GB2312"/>
          <w:sz w:val="32"/>
          <w:szCs w:val="32"/>
          <w:lang w:val="en-US" w:eastAsia="zh-CN"/>
        </w:rPr>
        <w:t>发挥好自贡市人大常委会</w:t>
      </w:r>
      <w:r>
        <w:rPr>
          <w:rFonts w:hint="eastAsia" w:ascii="仿宋_GB2312" w:hAnsi="仿宋_GB2312" w:eastAsia="仿宋_GB2312" w:cs="仿宋_GB2312"/>
          <w:sz w:val="32"/>
          <w:szCs w:val="32"/>
        </w:rPr>
        <w:t>基层立法联系点</w:t>
      </w:r>
      <w:r>
        <w:rPr>
          <w:rFonts w:hint="eastAsia" w:ascii="仿宋_GB2312" w:hAnsi="仿宋_GB2312" w:eastAsia="仿宋_GB2312" w:cs="仿宋_GB2312"/>
          <w:sz w:val="32"/>
          <w:szCs w:val="32"/>
          <w:lang w:val="en-US" w:eastAsia="zh-CN"/>
        </w:rPr>
        <w:t>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N</w:t>
      </w:r>
      <w:r>
        <w:rPr>
          <w:rFonts w:hint="eastAsia" w:ascii="仿宋_GB2312" w:hAnsi="仿宋_GB2312" w:eastAsia="仿宋_GB2312" w:cs="仿宋_GB2312"/>
          <w:sz w:val="32"/>
          <w:szCs w:val="32"/>
          <w:lang w:val="en-US" w:eastAsia="zh-CN"/>
        </w:rPr>
        <w:t>”机制，增强</w:t>
      </w:r>
      <w:r>
        <w:rPr>
          <w:rFonts w:hint="eastAsia" w:ascii="仿宋_GB2312" w:hAnsi="仿宋_GB2312" w:eastAsia="仿宋_GB2312" w:cs="仿宋_GB2312"/>
          <w:sz w:val="32"/>
          <w:szCs w:val="32"/>
        </w:rPr>
        <w:t>基层立法联系点的功能。</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三级法律服务平台</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建立完善法学法律界专家参与矛盾纠纷调解运行机制，服务基层社会治理能力现代化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充分发挥法务中心作用，全力服务重大产业、重点行业、重要领域，持续优化法治化营商发展环境。</w:t>
      </w:r>
      <w:r>
        <w:rPr>
          <w:rFonts w:hint="eastAsia" w:ascii="仿宋_GB2312" w:hAnsi="仿宋_GB2312" w:eastAsia="仿宋_GB2312" w:cs="仿宋_GB2312"/>
          <w:b/>
          <w:bCs/>
          <w:sz w:val="32"/>
          <w:szCs w:val="32"/>
          <w:lang w:val="en-US" w:eastAsia="zh-CN"/>
        </w:rPr>
        <w:t>四是推进工作改革创新。</w:t>
      </w:r>
      <w:r>
        <w:rPr>
          <w:rFonts w:hint="eastAsia" w:ascii="仿宋_GB2312" w:hAnsi="仿宋_GB2312" w:eastAsia="仿宋_GB2312" w:cs="仿宋_GB2312"/>
          <w:sz w:val="32"/>
          <w:szCs w:val="32"/>
          <w:lang w:val="en-US" w:eastAsia="zh-CN"/>
        </w:rPr>
        <w:t>积极开展实践调研，围绕群众关注、问题多样、重点难点选育课题，形成高质量调研成果并推动转化。以项目化形式推进“一县一品</w:t>
      </w:r>
      <w:r>
        <w:rPr>
          <w:rFonts w:hint="default" w:ascii="Times New Roman" w:hAnsi="Times New Roman" w:eastAsia="仿宋_GB2312" w:cs="Times New Roman"/>
          <w:sz w:val="32"/>
          <w:szCs w:val="32"/>
          <w:lang w:val="en-US" w:eastAsia="zh-CN"/>
        </w:rPr>
        <w:t>N</w:t>
      </w:r>
      <w:r>
        <w:rPr>
          <w:rFonts w:hint="eastAsia" w:ascii="仿宋_GB2312" w:hAnsi="仿宋_GB2312" w:eastAsia="仿宋_GB2312" w:cs="仿宋_GB2312"/>
          <w:sz w:val="32"/>
          <w:szCs w:val="32"/>
          <w:lang w:val="en-US" w:eastAsia="zh-CN"/>
        </w:rPr>
        <w:t>特色”品牌打造，将法学会工作融入捍卫政治安全、维护社会稳定、服务发展大局等工作中，形成有自贡特色的法学品牌。</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sz w:val="32"/>
          <w:szCs w:val="32"/>
        </w:rPr>
        <w:t>切实加强</w:t>
      </w:r>
      <w:r>
        <w:rPr>
          <w:rFonts w:hint="eastAsia" w:ascii="仿宋_GB2312" w:hAnsi="仿宋_GB2312" w:eastAsia="仿宋_GB2312" w:cs="仿宋_GB2312"/>
          <w:b/>
          <w:bCs/>
          <w:sz w:val="32"/>
          <w:szCs w:val="32"/>
          <w:lang w:val="en-US" w:eastAsia="zh-CN"/>
        </w:rPr>
        <w:t>自身建设。</w:t>
      </w:r>
      <w:r>
        <w:rPr>
          <w:rFonts w:hint="eastAsia" w:ascii="仿宋_GB2312" w:hAnsi="仿宋_GB2312" w:eastAsia="仿宋_GB2312" w:cs="仿宋_GB2312"/>
          <w:sz w:val="32"/>
          <w:szCs w:val="32"/>
          <w:lang w:eastAsia="zh-CN"/>
        </w:rPr>
        <w:t>切实加强法学会党组织建设，不断壮大发展团体会员和个人会员，充分发挥学术委员会和直属研究会作用，升级打造“</w:t>
      </w:r>
      <w:r>
        <w:rPr>
          <w:rFonts w:hint="eastAsia" w:ascii="仿宋_GB2312" w:hAnsi="仿宋_GB2312" w:eastAsia="仿宋_GB2312" w:cs="仿宋_GB2312"/>
          <w:sz w:val="32"/>
          <w:szCs w:val="32"/>
          <w:lang w:val="en-US" w:eastAsia="zh-CN"/>
        </w:rPr>
        <w:t>会员之家”，增强广大法学法律工作者的凝聚力和战斗力，为平安自贡、法治自贡建设做出新的更大贡献。</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二、</w:t>
      </w:r>
      <w:r>
        <w:rPr>
          <w:rFonts w:hint="eastAsia" w:ascii="Times New Roman" w:hAnsi="Times New Roman" w:eastAsia="黑体"/>
          <w:color w:val="auto"/>
          <w:sz w:val="32"/>
          <w:szCs w:val="32"/>
          <w:lang w:eastAsia="zh-CN"/>
        </w:rPr>
        <w:t>单位</w:t>
      </w:r>
      <w:r>
        <w:rPr>
          <w:rFonts w:hint="eastAsia" w:ascii="Times New Roman" w:hAnsi="Times New Roman" w:eastAsia="黑体"/>
          <w:color w:val="auto"/>
          <w:sz w:val="32"/>
          <w:szCs w:val="32"/>
        </w:rPr>
        <w:t>概况</w:t>
      </w:r>
      <w:bookmarkEnd w:id="3"/>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hint="eastAsia" w:ascii="仿宋_GB2312" w:hAnsi="仿宋" w:eastAsia="仿宋_GB2312"/>
          <w:sz w:val="32"/>
          <w:szCs w:val="32"/>
          <w:highlight w:val="none"/>
          <w:lang w:eastAsia="zh-CN"/>
        </w:rPr>
      </w:pPr>
      <w:bookmarkStart w:id="4" w:name="_Toc9229"/>
      <w:r>
        <w:rPr>
          <w:rFonts w:hint="eastAsia" w:ascii="仿宋_GB2312" w:hAnsi="仿宋" w:eastAsia="仿宋_GB2312" w:cs="Times New Roman"/>
          <w:sz w:val="32"/>
          <w:szCs w:val="32"/>
          <w:highlight w:val="none"/>
          <w:lang w:val="en-US" w:eastAsia="zh-CN"/>
        </w:rPr>
        <w:t>自贡市法学会单位为中共自贡市委政法委员会部门下属二级预算单位，为公益一类事业单位，</w:t>
      </w:r>
      <w:r>
        <w:rPr>
          <w:rFonts w:hint="eastAsia" w:ascii="Times New Roman" w:hAnsi="Times New Roman" w:eastAsia="仿宋_GB2312"/>
          <w:sz w:val="32"/>
          <w:szCs w:val="32"/>
          <w:lang w:eastAsia="zh-CN"/>
        </w:rPr>
        <w:t>无内设科室</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三、收支预算情况说明</w:t>
      </w:r>
      <w:bookmarkEnd w:id="4"/>
    </w:p>
    <w:p>
      <w:pPr>
        <w:pStyle w:val="4"/>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Style w:val="16"/>
          <w:rFonts w:hint="default" w:ascii="Times New Roman" w:hAnsi="Times New Roman" w:cs="仿宋_GB2312"/>
          <w:color w:val="0000FF"/>
          <w:sz w:val="32"/>
          <w:szCs w:val="22"/>
          <w:lang w:val="en-US"/>
        </w:rPr>
      </w:pPr>
      <w:r>
        <w:rPr>
          <w:rFonts w:hint="eastAsia" w:ascii="Times New Roman" w:hAnsi="Times New Roman"/>
          <w:color w:val="auto"/>
          <w:sz w:val="32"/>
          <w:szCs w:val="32"/>
        </w:rPr>
        <w:t>按照综合预算的原则，</w:t>
      </w:r>
      <w:r>
        <w:rPr>
          <w:rFonts w:hint="eastAsia" w:ascii="Times New Roman" w:hAnsi="Times New Roman" w:eastAsia="仿宋_GB2312"/>
          <w:color w:val="auto"/>
          <w:sz w:val="32"/>
          <w:szCs w:val="32"/>
        </w:rPr>
        <w:t>自贡</w:t>
      </w:r>
      <w:r>
        <w:rPr>
          <w:rFonts w:hint="eastAsia" w:ascii="Times New Roman" w:hAnsi="Times New Roman"/>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eastAsia" w:ascii="Times New Roman" w:hAnsi="Times New Roman"/>
          <w:color w:val="auto"/>
          <w:sz w:val="32"/>
          <w:szCs w:val="32"/>
        </w:rPr>
        <w:t>所有收入和支出均纳入</w:t>
      </w:r>
      <w:r>
        <w:rPr>
          <w:rFonts w:hint="eastAsia" w:ascii="Times New Roman" w:hAnsi="Times New Roman"/>
          <w:color w:val="auto"/>
          <w:sz w:val="32"/>
          <w:szCs w:val="32"/>
          <w:lang w:eastAsia="zh-CN"/>
        </w:rPr>
        <w:t>单位</w:t>
      </w:r>
      <w:r>
        <w:rPr>
          <w:rFonts w:hint="eastAsia" w:ascii="Times New Roman" w:hAnsi="Times New Roman"/>
          <w:color w:val="auto"/>
          <w:sz w:val="32"/>
          <w:szCs w:val="32"/>
        </w:rPr>
        <w:t>预算管理。收入</w:t>
      </w:r>
      <w:r>
        <w:rPr>
          <w:rFonts w:hint="eastAsia" w:ascii="Times New Roman" w:hAnsi="Times New Roman"/>
          <w:color w:val="auto"/>
          <w:sz w:val="32"/>
          <w:szCs w:val="32"/>
          <w:lang w:eastAsia="zh-CN"/>
        </w:rPr>
        <w:t>为</w:t>
      </w:r>
      <w:r>
        <w:rPr>
          <w:rFonts w:hint="eastAsia" w:ascii="Times New Roman" w:hAnsi="Times New Roman"/>
          <w:color w:val="auto"/>
          <w:sz w:val="32"/>
          <w:szCs w:val="32"/>
        </w:rPr>
        <w:t>一般公共预算拨款收入；支出包括：公共安全支出、社会保障和就业支出、</w:t>
      </w:r>
      <w:r>
        <w:rPr>
          <w:rFonts w:hint="eastAsia" w:ascii="Times New Roman" w:hAnsi="Times New Roman"/>
          <w:color w:val="auto"/>
          <w:sz w:val="32"/>
          <w:szCs w:val="32"/>
          <w:lang w:eastAsia="zh-CN"/>
        </w:rPr>
        <w:t>卫生健康</w:t>
      </w:r>
      <w:r>
        <w:rPr>
          <w:rFonts w:hint="eastAsia" w:ascii="Times New Roman" w:hAnsi="Times New Roman"/>
          <w:color w:val="auto"/>
          <w:sz w:val="32"/>
          <w:szCs w:val="32"/>
        </w:rPr>
        <w:t>支出、住房保障支出。</w:t>
      </w:r>
      <w:r>
        <w:rPr>
          <w:rFonts w:hint="eastAsia" w:ascii="Times New Roman" w:hAnsi="Times New Roman"/>
          <w:color w:val="auto"/>
          <w:sz w:val="32"/>
          <w:szCs w:val="32"/>
          <w:lang w:eastAsia="zh-CN"/>
        </w:rPr>
        <w:t>自贡市法学会单位</w:t>
      </w:r>
      <w:r>
        <w:rPr>
          <w:rFonts w:hint="default" w:ascii="Times New Roman" w:hAnsi="Times New Roman" w:cs="Times New Roman"/>
          <w:color w:val="auto"/>
          <w:sz w:val="32"/>
          <w:szCs w:val="32"/>
          <w:lang w:eastAsia="zh-CN"/>
        </w:rPr>
        <w:t>20</w:t>
      </w:r>
      <w:r>
        <w:rPr>
          <w:rFonts w:hint="default" w:ascii="Times New Roman" w:hAnsi="Times New Roman" w:cs="Times New Roman"/>
          <w:color w:val="auto"/>
          <w:sz w:val="32"/>
          <w:szCs w:val="32"/>
          <w:lang w:val="en-US" w:eastAsia="zh-CN"/>
        </w:rPr>
        <w:t>24</w:t>
      </w:r>
      <w:r>
        <w:rPr>
          <w:rFonts w:hint="eastAsia" w:ascii="Times New Roman" w:hAnsi="Times New Roman"/>
          <w:color w:val="auto"/>
          <w:sz w:val="32"/>
          <w:szCs w:val="32"/>
        </w:rPr>
        <w:t>年收支总预算</w:t>
      </w:r>
      <w:r>
        <w:rPr>
          <w:rFonts w:hint="eastAsia" w:ascii="Times New Roman" w:hAnsi="Times New Roman"/>
          <w:color w:val="auto"/>
          <w:sz w:val="32"/>
          <w:szCs w:val="32"/>
          <w:lang w:eastAsia="zh-CN"/>
        </w:rPr>
        <w:t>为</w:t>
      </w:r>
      <w:r>
        <w:rPr>
          <w:rFonts w:hint="default" w:ascii="Times New Roman" w:hAnsi="Times New Roman" w:cs="Times New Roman"/>
          <w:color w:val="auto"/>
          <w:sz w:val="32"/>
          <w:szCs w:val="32"/>
          <w:lang w:val="en-US" w:eastAsia="zh-CN"/>
        </w:rPr>
        <w:t>242.24</w:t>
      </w:r>
      <w:r>
        <w:rPr>
          <w:rFonts w:hint="eastAsia" w:ascii="Times New Roman" w:hAnsi="Times New Roman"/>
          <w:color w:val="auto"/>
          <w:sz w:val="32"/>
          <w:szCs w:val="32"/>
          <w:lang w:val="en-US" w:eastAsia="zh-CN"/>
        </w:rPr>
        <w:t>万元，</w:t>
      </w:r>
      <w:r>
        <w:rPr>
          <w:rFonts w:hint="eastAsia" w:ascii="Times New Roman" w:hAnsi="Times New Roman"/>
          <w:color w:val="auto"/>
          <w:sz w:val="32"/>
          <w:szCs w:val="32"/>
        </w:rPr>
        <w:t>比</w:t>
      </w:r>
      <w:r>
        <w:rPr>
          <w:rFonts w:hint="default" w:ascii="Times New Roman" w:hAnsi="Times New Roman" w:cs="Times New Roman"/>
          <w:color w:val="auto"/>
          <w:sz w:val="32"/>
          <w:szCs w:val="32"/>
          <w:lang w:eastAsia="zh-CN"/>
        </w:rPr>
        <w:t>202</w:t>
      </w:r>
      <w:r>
        <w:rPr>
          <w:rFonts w:hint="default" w:ascii="Times New Roman" w:hAnsi="Times New Roman" w:cs="Times New Roman"/>
          <w:color w:val="auto"/>
          <w:sz w:val="32"/>
          <w:szCs w:val="32"/>
          <w:lang w:val="en-US" w:eastAsia="zh-CN"/>
        </w:rPr>
        <w:t>3</w:t>
      </w:r>
      <w:r>
        <w:rPr>
          <w:rFonts w:hint="eastAsia" w:ascii="Times New Roman" w:hAnsi="Times New Roman"/>
          <w:color w:val="auto"/>
          <w:sz w:val="32"/>
          <w:szCs w:val="32"/>
        </w:rPr>
        <w:t>年收支预算总数</w:t>
      </w:r>
      <w:r>
        <w:rPr>
          <w:rFonts w:hint="eastAsia" w:ascii="Times New Roman" w:hAnsi="Times New Roman"/>
          <w:color w:val="auto"/>
          <w:sz w:val="32"/>
          <w:szCs w:val="32"/>
          <w:lang w:eastAsia="zh-CN"/>
        </w:rPr>
        <w:t>增加</w:t>
      </w:r>
      <w:r>
        <w:rPr>
          <w:rFonts w:hint="default" w:ascii="Times New Roman" w:hAnsi="Times New Roman" w:cs="Times New Roman"/>
          <w:color w:val="auto"/>
          <w:sz w:val="32"/>
          <w:szCs w:val="32"/>
          <w:lang w:val="en-US" w:eastAsia="zh-CN"/>
        </w:rPr>
        <w:t>48.62</w:t>
      </w:r>
      <w:r>
        <w:rPr>
          <w:rFonts w:hint="eastAsia" w:ascii="Times New Roman" w:hAnsi="Times New Roman"/>
          <w:color w:val="auto"/>
          <w:sz w:val="32"/>
          <w:szCs w:val="32"/>
        </w:rPr>
        <w:t>万元，主要原因</w:t>
      </w:r>
      <w:r>
        <w:rPr>
          <w:rFonts w:hint="eastAsia" w:ascii="Times New Roman" w:hAnsi="Times New Roman"/>
          <w:color w:val="auto"/>
          <w:sz w:val="32"/>
          <w:szCs w:val="32"/>
          <w:lang w:eastAsia="zh-CN"/>
        </w:rPr>
        <w:t>是</w:t>
      </w:r>
      <w:r>
        <w:rPr>
          <w:rFonts w:hint="eastAsia" w:ascii="仿宋_GB2312" w:eastAsia="仿宋_GB2312"/>
          <w:color w:val="auto"/>
          <w:sz w:val="32"/>
          <w:szCs w:val="32"/>
          <w:lang w:eastAsia="zh-CN"/>
        </w:rPr>
        <w:t>有新增人员</w:t>
      </w:r>
      <w:r>
        <w:rPr>
          <w:rStyle w:val="16"/>
          <w:rFonts w:hint="eastAsia" w:ascii="Times New Roman" w:hAnsi="Times New Roman" w:cs="仿宋_GB2312"/>
          <w:color w:val="auto"/>
          <w:sz w:val="32"/>
          <w:szCs w:val="22"/>
          <w:lang w:val="en-US" w:eastAsia="zh-CN"/>
        </w:rPr>
        <w:t>。</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5" w:name="_Toc7638"/>
      <w:r>
        <w:rPr>
          <w:rFonts w:hint="eastAsia" w:ascii="Times New Roman" w:hAnsi="Times New Roman" w:eastAsia="楷体_GB2312" w:cs="楷体_GB2312"/>
          <w:b w:val="0"/>
          <w:bCs w:val="0"/>
          <w:color w:val="auto"/>
          <w:sz w:val="32"/>
          <w:szCs w:val="32"/>
          <w:lang w:eastAsia="zh-CN"/>
        </w:rPr>
        <w:t>（一）收入预算情况</w:t>
      </w:r>
      <w:bookmarkEnd w:id="5"/>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hint="eastAsia" w:ascii="Times New Roman" w:hAnsi="Times New Roman" w:eastAsia="仿宋_GB2312"/>
          <w:color w:val="0000FF"/>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年收入预算</w:t>
      </w:r>
      <w:r>
        <w:rPr>
          <w:rFonts w:hint="default" w:ascii="Times New Roman" w:hAnsi="Times New Roman" w:eastAsia="仿宋_GB2312" w:cs="Times New Roman"/>
          <w:color w:val="auto"/>
          <w:sz w:val="32"/>
          <w:szCs w:val="32"/>
          <w:lang w:val="en-US" w:eastAsia="zh-CN"/>
        </w:rPr>
        <w:t>242.24</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其中：政府性基金收入</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一般公共预算拨款收入</w:t>
      </w:r>
      <w:r>
        <w:rPr>
          <w:rFonts w:hint="default" w:ascii="Times New Roman" w:hAnsi="Times New Roman" w:eastAsia="仿宋_GB2312" w:cs="Times New Roman"/>
          <w:color w:val="auto"/>
          <w:sz w:val="32"/>
          <w:szCs w:val="32"/>
          <w:lang w:val="en-US" w:eastAsia="zh-CN"/>
        </w:rPr>
        <w:t>242.24</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6" w:name="_Toc29332"/>
      <w:r>
        <w:rPr>
          <w:rFonts w:hint="eastAsia" w:ascii="Times New Roman" w:hAnsi="Times New Roman" w:eastAsia="楷体_GB2312" w:cs="楷体_GB2312"/>
          <w:b w:val="0"/>
          <w:bCs w:val="0"/>
          <w:color w:val="auto"/>
          <w:sz w:val="32"/>
          <w:szCs w:val="32"/>
          <w:lang w:eastAsia="zh-CN"/>
        </w:rPr>
        <w:t>（二）支出预算情况</w:t>
      </w:r>
      <w:bookmarkEnd w:id="6"/>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b/>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年支出预算</w:t>
      </w:r>
      <w:r>
        <w:rPr>
          <w:rFonts w:hint="default" w:ascii="Times New Roman" w:hAnsi="Times New Roman" w:eastAsia="仿宋_GB2312" w:cs="Times New Roman"/>
          <w:color w:val="auto"/>
          <w:sz w:val="32"/>
          <w:szCs w:val="32"/>
          <w:lang w:val="en-US" w:eastAsia="zh-CN"/>
        </w:rPr>
        <w:t>242.24</w:t>
      </w:r>
      <w:r>
        <w:rPr>
          <w:rFonts w:hint="eastAsia" w:ascii="Times New Roman" w:hAnsi="Times New Roman" w:eastAsia="仿宋_GB2312"/>
          <w:color w:val="auto"/>
          <w:sz w:val="32"/>
          <w:szCs w:val="32"/>
        </w:rPr>
        <w:t>万元，其中：基本支出</w:t>
      </w:r>
      <w:r>
        <w:rPr>
          <w:rFonts w:hint="default" w:ascii="Times New Roman" w:hAnsi="Times New Roman" w:eastAsia="仿宋_GB2312" w:cs="Times New Roman"/>
          <w:color w:val="auto"/>
          <w:sz w:val="32"/>
          <w:szCs w:val="32"/>
          <w:lang w:val="en-US" w:eastAsia="zh-CN"/>
        </w:rPr>
        <w:t>222.52</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91.86</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；项目支出</w:t>
      </w:r>
      <w:r>
        <w:rPr>
          <w:rFonts w:hint="default" w:ascii="Times New Roman" w:hAnsi="Times New Roman" w:eastAsia="仿宋_GB2312" w:cs="Times New Roman"/>
          <w:color w:val="auto"/>
          <w:sz w:val="32"/>
          <w:szCs w:val="32"/>
          <w:lang w:val="en-US" w:eastAsia="zh-CN"/>
        </w:rPr>
        <w:t>19.72</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8.14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hint="eastAsia" w:ascii="Times New Roman" w:hAnsi="Times New Roman" w:eastAsia="黑体" w:cs="Times New Roman"/>
          <w:color w:val="auto"/>
          <w:sz w:val="32"/>
          <w:szCs w:val="32"/>
        </w:rPr>
      </w:pPr>
      <w:bookmarkStart w:id="7" w:name="_Toc27708"/>
      <w:r>
        <w:rPr>
          <w:rFonts w:hint="eastAsia" w:ascii="Times New Roman" w:hAnsi="Times New Roman" w:eastAsia="黑体" w:cs="Times New Roman"/>
          <w:color w:val="auto"/>
          <w:sz w:val="32"/>
          <w:szCs w:val="32"/>
        </w:rPr>
        <w:t>四、财政拨款收支预算情况说明</w:t>
      </w:r>
      <w:bookmarkEnd w:id="7"/>
    </w:p>
    <w:p>
      <w:pPr>
        <w:pStyle w:val="4"/>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Style w:val="16"/>
          <w:rFonts w:hint="default" w:ascii="Times New Roman" w:hAnsi="Times New Roman" w:cs="仿宋_GB2312"/>
          <w:color w:val="auto"/>
          <w:sz w:val="32"/>
          <w:szCs w:val="22"/>
          <w:lang w:val="en-US"/>
        </w:rPr>
      </w:pPr>
      <w:r>
        <w:rPr>
          <w:rFonts w:hint="eastAsia" w:ascii="Times New Roman" w:hAnsi="Times New Roman" w:eastAsia="仿宋_GB2312"/>
          <w:color w:val="auto"/>
          <w:sz w:val="32"/>
          <w:szCs w:val="32"/>
        </w:rPr>
        <w:t>自贡</w:t>
      </w:r>
      <w:r>
        <w:rPr>
          <w:rFonts w:hint="eastAsia" w:ascii="Times New Roman" w:hAnsi="Times New Roman"/>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cs="Times New Roman"/>
          <w:color w:val="auto"/>
          <w:sz w:val="32"/>
          <w:szCs w:val="32"/>
          <w:lang w:eastAsia="zh-CN"/>
        </w:rPr>
        <w:t>202</w:t>
      </w:r>
      <w:r>
        <w:rPr>
          <w:rFonts w:hint="default" w:ascii="Times New Roman" w:hAnsi="Times New Roman" w:cs="Times New Roman"/>
          <w:color w:val="auto"/>
          <w:sz w:val="32"/>
          <w:szCs w:val="32"/>
          <w:lang w:val="en-US" w:eastAsia="zh-CN"/>
        </w:rPr>
        <w:t>4</w:t>
      </w:r>
      <w:r>
        <w:rPr>
          <w:rFonts w:hint="eastAsia" w:ascii="Times New Roman" w:hAnsi="Times New Roman"/>
          <w:color w:val="auto"/>
          <w:sz w:val="32"/>
          <w:szCs w:val="32"/>
        </w:rPr>
        <w:t>年财政拨款收支总预算</w:t>
      </w:r>
      <w:r>
        <w:rPr>
          <w:rFonts w:hint="default" w:ascii="Times New Roman" w:hAnsi="Times New Roman" w:cs="Times New Roman"/>
          <w:color w:val="auto"/>
          <w:sz w:val="32"/>
          <w:szCs w:val="32"/>
          <w:lang w:val="en-US" w:eastAsia="zh-CN"/>
        </w:rPr>
        <w:t>242.24</w:t>
      </w:r>
      <w:r>
        <w:rPr>
          <w:rFonts w:hint="eastAsia" w:ascii="Times New Roman" w:hAnsi="Times New Roman"/>
          <w:color w:val="auto"/>
          <w:sz w:val="32"/>
          <w:szCs w:val="32"/>
          <w:lang w:val="en-US" w:eastAsia="zh-CN"/>
        </w:rPr>
        <w:t>万元，</w:t>
      </w:r>
      <w:r>
        <w:rPr>
          <w:rFonts w:hint="eastAsia" w:ascii="Times New Roman" w:hAnsi="Times New Roman"/>
          <w:color w:val="auto"/>
          <w:sz w:val="32"/>
          <w:szCs w:val="32"/>
        </w:rPr>
        <w:t>比</w:t>
      </w:r>
      <w:r>
        <w:rPr>
          <w:rFonts w:hint="default" w:ascii="Times New Roman" w:hAnsi="Times New Roman" w:cs="Times New Roman"/>
          <w:color w:val="auto"/>
          <w:sz w:val="32"/>
          <w:szCs w:val="32"/>
          <w:lang w:eastAsia="zh-CN"/>
        </w:rPr>
        <w:t>20</w:t>
      </w:r>
      <w:r>
        <w:rPr>
          <w:rFonts w:hint="default" w:ascii="Times New Roman" w:hAnsi="Times New Roman" w:cs="Times New Roman"/>
          <w:color w:val="auto"/>
          <w:sz w:val="32"/>
          <w:szCs w:val="32"/>
          <w:lang w:val="en-US" w:eastAsia="zh-CN"/>
        </w:rPr>
        <w:t>23</w:t>
      </w:r>
      <w:r>
        <w:rPr>
          <w:rFonts w:hint="eastAsia" w:ascii="Times New Roman" w:hAnsi="Times New Roman"/>
          <w:color w:val="auto"/>
          <w:sz w:val="32"/>
          <w:szCs w:val="32"/>
        </w:rPr>
        <w:t>年财政拨款收支总预算</w:t>
      </w:r>
      <w:r>
        <w:rPr>
          <w:rFonts w:hint="eastAsia" w:ascii="Times New Roman" w:hAnsi="Times New Roman"/>
          <w:color w:val="auto"/>
          <w:sz w:val="32"/>
          <w:szCs w:val="32"/>
          <w:lang w:eastAsia="zh-CN"/>
        </w:rPr>
        <w:t>增加</w:t>
      </w:r>
      <w:r>
        <w:rPr>
          <w:rFonts w:hint="default" w:ascii="Times New Roman" w:hAnsi="Times New Roman" w:cs="Times New Roman"/>
          <w:color w:val="auto"/>
          <w:sz w:val="32"/>
          <w:szCs w:val="32"/>
          <w:lang w:val="en-US" w:eastAsia="zh-CN"/>
        </w:rPr>
        <w:t>48.62</w:t>
      </w:r>
      <w:r>
        <w:rPr>
          <w:rFonts w:hint="eastAsia" w:ascii="Times New Roman" w:hAnsi="Times New Roman"/>
          <w:color w:val="auto"/>
          <w:sz w:val="32"/>
          <w:szCs w:val="32"/>
        </w:rPr>
        <w:t>万元，主要原因是</w:t>
      </w:r>
      <w:r>
        <w:rPr>
          <w:rFonts w:hint="eastAsia" w:ascii="仿宋_GB2312" w:eastAsia="仿宋_GB2312"/>
          <w:color w:val="auto"/>
          <w:sz w:val="32"/>
          <w:szCs w:val="32"/>
          <w:lang w:eastAsia="zh-CN"/>
        </w:rPr>
        <w:t>有新增人员</w:t>
      </w:r>
      <w:r>
        <w:rPr>
          <w:rStyle w:val="16"/>
          <w:rFonts w:hint="eastAsia" w:ascii="Times New Roman" w:hAnsi="Times New Roman" w:cs="仿宋_GB2312"/>
          <w:color w:val="auto"/>
          <w:sz w:val="32"/>
          <w:szCs w:val="22"/>
          <w:lang w:val="en-US"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0000FF"/>
          <w:sz w:val="32"/>
          <w:szCs w:val="32"/>
        </w:rPr>
      </w:pPr>
      <w:r>
        <w:rPr>
          <w:rFonts w:hint="eastAsia" w:ascii="Times New Roman" w:hAnsi="Times New Roman" w:eastAsia="仿宋_GB2312"/>
          <w:color w:val="auto"/>
          <w:sz w:val="32"/>
          <w:szCs w:val="32"/>
        </w:rPr>
        <w:t>收入包括：本年一般公共预算拨款收入</w:t>
      </w:r>
      <w:r>
        <w:rPr>
          <w:rFonts w:hint="default" w:ascii="Times New Roman" w:hAnsi="Times New Roman" w:cs="Times New Roman"/>
          <w:color w:val="auto"/>
          <w:sz w:val="32"/>
          <w:szCs w:val="32"/>
          <w:lang w:val="en-US" w:eastAsia="zh-CN"/>
        </w:rPr>
        <w:t>242.24</w:t>
      </w:r>
      <w:r>
        <w:rPr>
          <w:rFonts w:hint="eastAsia" w:ascii="Times New Roman" w:hAnsi="Times New Roman"/>
          <w:color w:val="auto"/>
          <w:sz w:val="32"/>
          <w:szCs w:val="32"/>
          <w:lang w:val="en-US" w:eastAsia="zh-CN"/>
        </w:rPr>
        <w:t>万元</w:t>
      </w:r>
      <w:r>
        <w:rPr>
          <w:rFonts w:hint="eastAsia" w:ascii="Times New Roman" w:hAnsi="Times New Roman" w:eastAsia="仿宋_GB2312"/>
          <w:color w:val="auto"/>
          <w:sz w:val="32"/>
          <w:szCs w:val="32"/>
        </w:rPr>
        <w:t>，本年政府性基金收入</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；支出包括：公共安全支出</w:t>
      </w:r>
      <w:r>
        <w:rPr>
          <w:rFonts w:hint="default" w:ascii="Times New Roman" w:hAnsi="Times New Roman" w:eastAsia="仿宋_GB2312" w:cs="Times New Roman"/>
          <w:color w:val="auto"/>
          <w:sz w:val="32"/>
          <w:szCs w:val="32"/>
          <w:lang w:val="en-US" w:eastAsia="zh-CN"/>
        </w:rPr>
        <w:t>189.09</w:t>
      </w:r>
      <w:r>
        <w:rPr>
          <w:rFonts w:hint="eastAsia" w:ascii="Times New Roman" w:hAnsi="Times New Roman" w:eastAsia="仿宋_GB2312"/>
          <w:color w:val="auto"/>
          <w:sz w:val="32"/>
          <w:szCs w:val="32"/>
        </w:rPr>
        <w:t>万元、社会保障和就业支出</w:t>
      </w:r>
      <w:r>
        <w:rPr>
          <w:rFonts w:hint="default" w:ascii="Times New Roman" w:hAnsi="Times New Roman" w:eastAsia="仿宋_GB2312" w:cs="Times New Roman"/>
          <w:color w:val="auto"/>
          <w:sz w:val="32"/>
          <w:szCs w:val="32"/>
          <w:lang w:val="en-US" w:eastAsia="zh-CN"/>
        </w:rPr>
        <w:t>33.33</w:t>
      </w:r>
      <w:r>
        <w:rPr>
          <w:rFonts w:hint="eastAsia" w:ascii="Times New Roman" w:hAnsi="Times New Roman" w:eastAsia="仿宋_GB2312"/>
          <w:color w:val="auto"/>
          <w:sz w:val="32"/>
          <w:szCs w:val="32"/>
        </w:rPr>
        <w:t>万元、卫生健康支出</w:t>
      </w:r>
      <w:r>
        <w:rPr>
          <w:rFonts w:hint="default" w:ascii="Times New Roman" w:hAnsi="Times New Roman" w:eastAsia="仿宋_GB2312" w:cs="Times New Roman"/>
          <w:color w:val="auto"/>
          <w:sz w:val="32"/>
          <w:szCs w:val="32"/>
          <w:lang w:val="en-US" w:eastAsia="zh-CN"/>
        </w:rPr>
        <w:t>8.16</w:t>
      </w:r>
      <w:r>
        <w:rPr>
          <w:rFonts w:hint="eastAsia" w:ascii="Times New Roman" w:hAnsi="Times New Roman" w:eastAsia="仿宋_GB2312"/>
          <w:color w:val="auto"/>
          <w:sz w:val="32"/>
          <w:szCs w:val="32"/>
        </w:rPr>
        <w:t>万元、住房保障支出</w:t>
      </w:r>
      <w:r>
        <w:rPr>
          <w:rFonts w:hint="default" w:ascii="Times New Roman" w:hAnsi="Times New Roman" w:eastAsia="仿宋_GB2312" w:cs="Times New Roman"/>
          <w:color w:val="auto"/>
          <w:sz w:val="32"/>
          <w:szCs w:val="32"/>
          <w:lang w:val="en-US" w:eastAsia="zh-CN"/>
        </w:rPr>
        <w:t>11.66</w:t>
      </w:r>
      <w:r>
        <w:rPr>
          <w:rFonts w:hint="eastAsia" w:ascii="Times New Roman" w:hAnsi="Times New Roman" w:eastAsia="仿宋_GB2312"/>
          <w:color w:val="auto"/>
          <w:sz w:val="32"/>
          <w:szCs w:val="32"/>
        </w:rPr>
        <w:t>万元。</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仿宋_GB2312"/>
          <w:color w:val="0000FF"/>
          <w:sz w:val="32"/>
          <w:szCs w:val="32"/>
        </w:rPr>
      </w:pPr>
      <w:bookmarkStart w:id="8" w:name="_Toc7435"/>
      <w:r>
        <w:rPr>
          <w:rFonts w:hint="eastAsia" w:ascii="Times New Roman" w:hAnsi="Times New Roman" w:eastAsia="黑体"/>
          <w:color w:val="auto"/>
          <w:sz w:val="32"/>
          <w:szCs w:val="32"/>
        </w:rPr>
        <w:t>五、一般公共预算当年拨款情况说明</w:t>
      </w:r>
      <w:bookmarkEnd w:id="8"/>
      <w:r>
        <w:rPr>
          <w:rFonts w:hint="eastAsia" w:ascii="Times New Roman" w:hAnsi="Times New Roman" w:eastAsia="仿宋_GB2312"/>
          <w:color w:val="auto"/>
          <w:sz w:val="32"/>
          <w:szCs w:val="32"/>
        </w:rPr>
        <w:t>　　</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9" w:name="_Toc24823"/>
      <w:r>
        <w:rPr>
          <w:rFonts w:hint="eastAsia" w:ascii="Times New Roman" w:hAnsi="Times New Roman" w:eastAsia="楷体_GB2312" w:cs="楷体_GB2312"/>
          <w:b w:val="0"/>
          <w:bCs w:val="0"/>
          <w:color w:val="auto"/>
          <w:sz w:val="32"/>
          <w:szCs w:val="32"/>
          <w:lang w:eastAsia="zh-CN"/>
        </w:rPr>
        <w:t>（一）一般公共预算当年拨款规模变化情况</w:t>
      </w:r>
      <w:bookmarkEnd w:id="9"/>
    </w:p>
    <w:p>
      <w:pPr>
        <w:pStyle w:val="4"/>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Fonts w:ascii="Times New Roman" w:hAnsi="Times New Roman" w:eastAsia="仿宋_GB2312"/>
          <w:b/>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default" w:ascii="Times New Roman" w:hAnsi="Times New Roman" w:cs="Times New Roman"/>
          <w:color w:val="auto"/>
          <w:sz w:val="32"/>
          <w:szCs w:val="32"/>
          <w:lang w:val="en-US" w:eastAsia="zh-CN"/>
        </w:rPr>
        <w:t>4</w:t>
      </w:r>
      <w:r>
        <w:rPr>
          <w:rFonts w:hint="eastAsia" w:ascii="Times New Roman" w:hAnsi="Times New Roman" w:eastAsia="仿宋_GB2312"/>
          <w:color w:val="auto"/>
          <w:sz w:val="32"/>
          <w:szCs w:val="32"/>
        </w:rPr>
        <w:t>年一般公共预算当年拨款</w:t>
      </w:r>
      <w:r>
        <w:rPr>
          <w:rFonts w:hint="default" w:ascii="Times New Roman" w:hAnsi="Times New Roman" w:cs="Times New Roman"/>
          <w:color w:val="auto"/>
          <w:sz w:val="32"/>
          <w:szCs w:val="32"/>
          <w:lang w:val="en-US" w:eastAsia="zh-CN"/>
        </w:rPr>
        <w:t>242.24</w:t>
      </w:r>
      <w:r>
        <w:rPr>
          <w:rFonts w:hint="eastAsia" w:ascii="Times New Roman" w:hAnsi="Times New Roman" w:eastAsia="仿宋_GB2312"/>
          <w:color w:val="auto"/>
          <w:sz w:val="32"/>
          <w:szCs w:val="32"/>
        </w:rPr>
        <w:t>万元，比</w:t>
      </w:r>
      <w:r>
        <w:rPr>
          <w:rFonts w:hint="default" w:ascii="Times New Roman" w:hAnsi="Times New Roman" w:eastAsia="仿宋_GB2312" w:cs="Times New Roman"/>
          <w:color w:val="auto"/>
          <w:sz w:val="32"/>
          <w:szCs w:val="32"/>
          <w:lang w:eastAsia="zh-CN"/>
        </w:rPr>
        <w:t>202</w:t>
      </w:r>
      <w:r>
        <w:rPr>
          <w:rFonts w:hint="default" w:ascii="Times New Roman" w:hAnsi="Times New Roman" w:cs="Times New Roman"/>
          <w:color w:val="auto"/>
          <w:sz w:val="32"/>
          <w:szCs w:val="32"/>
          <w:lang w:val="en-US" w:eastAsia="zh-CN"/>
        </w:rPr>
        <w:t>3</w:t>
      </w:r>
      <w:r>
        <w:rPr>
          <w:rFonts w:hint="eastAsia" w:ascii="Times New Roman" w:hAnsi="Times New Roman" w:eastAsia="仿宋_GB2312"/>
          <w:color w:val="auto"/>
          <w:sz w:val="32"/>
          <w:szCs w:val="32"/>
        </w:rPr>
        <w:t>年预算数</w:t>
      </w:r>
      <w:r>
        <w:rPr>
          <w:rFonts w:hint="eastAsia" w:ascii="Times New Roman" w:hAnsi="Times New Roman"/>
          <w:color w:val="auto"/>
          <w:sz w:val="32"/>
          <w:szCs w:val="32"/>
          <w:lang w:eastAsia="zh-CN"/>
        </w:rPr>
        <w:t>增加</w:t>
      </w:r>
      <w:r>
        <w:rPr>
          <w:rFonts w:hint="default" w:ascii="Times New Roman" w:hAnsi="Times New Roman" w:cs="Times New Roman"/>
          <w:color w:val="auto"/>
          <w:sz w:val="32"/>
          <w:szCs w:val="32"/>
          <w:lang w:val="en-US" w:eastAsia="zh-CN"/>
        </w:rPr>
        <w:t>48.62</w:t>
      </w:r>
      <w:r>
        <w:rPr>
          <w:rFonts w:hint="eastAsia" w:ascii="Times New Roman" w:hAnsi="Times New Roman"/>
          <w:color w:val="auto"/>
          <w:sz w:val="32"/>
          <w:szCs w:val="32"/>
        </w:rPr>
        <w:t>万元，主要原因是</w:t>
      </w:r>
      <w:r>
        <w:rPr>
          <w:rFonts w:hint="eastAsia" w:ascii="仿宋_GB2312" w:eastAsia="仿宋_GB2312"/>
          <w:color w:val="auto"/>
          <w:sz w:val="32"/>
          <w:szCs w:val="32"/>
          <w:lang w:eastAsia="zh-CN"/>
        </w:rPr>
        <w:t>有新增人员</w:t>
      </w:r>
      <w:r>
        <w:rPr>
          <w:rStyle w:val="16"/>
          <w:rFonts w:hint="eastAsia" w:ascii="Times New Roman" w:hAnsi="Times New Roman" w:cs="仿宋_GB2312"/>
          <w:color w:val="auto"/>
          <w:sz w:val="32"/>
          <w:szCs w:val="22"/>
          <w:lang w:val="en-US" w:eastAsia="zh-CN"/>
        </w:rPr>
        <w:t>。</w:t>
      </w:r>
    </w:p>
    <w:p>
      <w:pPr>
        <w:keepNext w:val="0"/>
        <w:keepLines w:val="0"/>
        <w:pageBreakBefore w:val="0"/>
        <w:widowControl w:val="0"/>
        <w:kinsoku/>
        <w:wordWrap/>
        <w:overflowPunct/>
        <w:topLinePunct w:val="0"/>
        <w:bidi w:val="0"/>
        <w:adjustRightInd/>
        <w:snapToGrid/>
        <w:spacing w:line="590" w:lineRule="exact"/>
        <w:ind w:firstLine="640"/>
        <w:jc w:val="both"/>
        <w:textAlignment w:val="auto"/>
        <w:outlineLvl w:val="1"/>
        <w:rPr>
          <w:rFonts w:ascii="Times New Roman" w:hAnsi="Times New Roman" w:eastAsia="仿宋"/>
          <w:color w:val="0000FF"/>
          <w:sz w:val="32"/>
          <w:szCs w:val="32"/>
        </w:rPr>
      </w:pPr>
      <w:bookmarkStart w:id="10" w:name="_Toc17179"/>
      <w:r>
        <w:rPr>
          <w:rFonts w:hint="eastAsia" w:ascii="Times New Roman" w:hAnsi="Times New Roman" w:eastAsia="楷体_GB2312" w:cs="楷体_GB2312"/>
          <w:b w:val="0"/>
          <w:bCs w:val="0"/>
          <w:color w:val="auto"/>
          <w:kern w:val="2"/>
          <w:sz w:val="32"/>
          <w:szCs w:val="32"/>
          <w:lang w:val="en-US" w:eastAsia="zh-CN" w:bidi="ar-SA"/>
        </w:rPr>
        <w:t>（二）一般公共预算当年拨款结构情况</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0000FF"/>
          <w:sz w:val="32"/>
          <w:szCs w:val="32"/>
        </w:rPr>
        <w:t>　</w:t>
      </w:r>
      <w:r>
        <w:rPr>
          <w:rFonts w:hint="eastAsia" w:ascii="Times New Roman" w:hAnsi="Times New Roman" w:eastAsia="仿宋_GB2312"/>
          <w:color w:val="auto"/>
          <w:sz w:val="32"/>
          <w:szCs w:val="32"/>
        </w:rPr>
        <w:t>　公共安全支出</w:t>
      </w:r>
      <w:r>
        <w:rPr>
          <w:rFonts w:hint="default" w:ascii="Times New Roman" w:hAnsi="Times New Roman" w:eastAsia="仿宋_GB2312" w:cs="Times New Roman"/>
          <w:color w:val="auto"/>
          <w:sz w:val="32"/>
          <w:szCs w:val="32"/>
          <w:lang w:val="en-US" w:eastAsia="zh-CN"/>
        </w:rPr>
        <w:t>189.09</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78.06</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；社会保障和就业支出</w:t>
      </w:r>
      <w:r>
        <w:rPr>
          <w:rFonts w:hint="default" w:ascii="Times New Roman" w:hAnsi="Times New Roman" w:eastAsia="仿宋_GB2312" w:cs="Times New Roman"/>
          <w:color w:val="auto"/>
          <w:sz w:val="32"/>
          <w:szCs w:val="32"/>
          <w:lang w:val="en-US" w:eastAsia="zh-CN"/>
        </w:rPr>
        <w:t>33.33</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13.76</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；卫生健康支出</w:t>
      </w:r>
      <w:r>
        <w:rPr>
          <w:rFonts w:hint="default" w:ascii="Times New Roman" w:hAnsi="Times New Roman" w:eastAsia="仿宋_GB2312" w:cs="Times New Roman"/>
          <w:color w:val="auto"/>
          <w:sz w:val="32"/>
          <w:szCs w:val="32"/>
          <w:lang w:val="en-US" w:eastAsia="zh-CN"/>
        </w:rPr>
        <w:t>8.16</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3.37</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；住房保障支出</w:t>
      </w:r>
      <w:r>
        <w:rPr>
          <w:rFonts w:hint="default" w:ascii="Times New Roman" w:hAnsi="Times New Roman" w:eastAsia="仿宋_GB2312" w:cs="Times New Roman"/>
          <w:color w:val="auto"/>
          <w:sz w:val="32"/>
          <w:szCs w:val="32"/>
          <w:lang w:val="en-US" w:eastAsia="zh-CN"/>
        </w:rPr>
        <w:t>11.66</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4.81</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bookmarkEnd w:id="10"/>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ascii="Times New Roman" w:hAnsi="Times New Roman" w:eastAsia="仿宋_GB2312"/>
          <w:color w:val="auto"/>
          <w:sz w:val="32"/>
          <w:szCs w:val="32"/>
        </w:rPr>
      </w:pPr>
      <w:bookmarkStart w:id="11" w:name="_Toc16418"/>
      <w:r>
        <w:rPr>
          <w:rFonts w:hint="eastAsia" w:ascii="Times New Roman" w:hAnsi="Times New Roman" w:eastAsia="楷体_GB2312" w:cs="楷体_GB2312"/>
          <w:b w:val="0"/>
          <w:bCs w:val="0"/>
          <w:color w:val="auto"/>
          <w:kern w:val="2"/>
          <w:sz w:val="32"/>
          <w:szCs w:val="32"/>
          <w:lang w:val="en-US" w:eastAsia="zh-CN" w:bidi="ar-SA"/>
        </w:rPr>
        <w:t>（三）一般公共预算当年拨款具体使用情况</w:t>
      </w:r>
      <w:bookmarkEnd w:id="11"/>
      <w:r>
        <w:rPr>
          <w:rFonts w:hint="eastAsia" w:ascii="Times New Roman" w:hAnsi="Times New Roman" w:eastAsia="楷体_GB2312" w:cs="楷体_GB2312"/>
          <w:b w:val="0"/>
          <w:bCs w:val="0"/>
          <w:color w:val="auto"/>
          <w:sz w:val="32"/>
          <w:szCs w:val="32"/>
          <w:lang w:eastAsia="zh-CN"/>
        </w:rPr>
        <w:t>　</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公共安全支出（类）公安（款）事业运行（项）:</w:t>
      </w: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169.37</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自贡市法学会和自贡市社会治安综合治理中心</w:t>
      </w:r>
      <w:r>
        <w:rPr>
          <w:rFonts w:hint="eastAsia" w:ascii="Times New Roman" w:hAnsi="Times New Roman" w:eastAsia="仿宋_GB2312" w:cs="Times New Roman"/>
          <w:sz w:val="32"/>
          <w:szCs w:val="32"/>
          <w:highlight w:val="none"/>
          <w:lang w:val="en-US" w:eastAsia="zh-CN"/>
        </w:rPr>
        <w:t>正常工作运转支出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olor w:val="auto"/>
          <w:sz w:val="32"/>
          <w:szCs w:val="32"/>
        </w:rPr>
        <w:t>公共安全</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（类）公安（款）一般行政管理事务（项）: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pacing w:val="-6"/>
          <w:sz w:val="32"/>
          <w:szCs w:val="32"/>
        </w:rPr>
        <w:t>年预算数为</w:t>
      </w:r>
      <w:r>
        <w:rPr>
          <w:rFonts w:hint="default" w:ascii="Times New Roman" w:hAnsi="Times New Roman" w:eastAsia="仿宋_GB2312" w:cs="Times New Roman"/>
          <w:color w:val="auto"/>
          <w:spacing w:val="-6"/>
          <w:sz w:val="32"/>
          <w:szCs w:val="32"/>
          <w:lang w:val="en-US" w:eastAsia="zh-CN"/>
        </w:rPr>
        <w:t>13.02</w:t>
      </w:r>
      <w:r>
        <w:rPr>
          <w:rFonts w:hint="eastAsia" w:ascii="Times New Roman" w:hAnsi="Times New Roman" w:eastAsia="仿宋_GB2312"/>
          <w:color w:val="auto"/>
          <w:spacing w:val="-6"/>
          <w:sz w:val="32"/>
          <w:szCs w:val="32"/>
        </w:rPr>
        <w:t>万元，主要</w:t>
      </w:r>
      <w:r>
        <w:rPr>
          <w:rFonts w:hint="eastAsia" w:ascii="Times New Roman" w:hAnsi="Times New Roman" w:eastAsia="仿宋_GB2312"/>
          <w:color w:val="auto"/>
          <w:spacing w:val="-6"/>
          <w:sz w:val="32"/>
          <w:szCs w:val="32"/>
          <w:lang w:eastAsia="zh-CN"/>
        </w:rPr>
        <w:t>用于</w:t>
      </w:r>
      <w:r>
        <w:rPr>
          <w:rFonts w:hint="eastAsia" w:eastAsia="仿宋_GB2312"/>
          <w:color w:val="auto"/>
          <w:spacing w:val="-6"/>
          <w:sz w:val="32"/>
          <w:szCs w:val="32"/>
          <w:lang w:eastAsia="zh-CN"/>
        </w:rPr>
        <w:t>：</w:t>
      </w:r>
      <w:r>
        <w:rPr>
          <w:rFonts w:hint="eastAsia" w:ascii="Times New Roman" w:hAnsi="Times New Roman" w:eastAsia="仿宋_GB2312"/>
          <w:color w:val="auto"/>
          <w:spacing w:val="-6"/>
          <w:sz w:val="32"/>
          <w:szCs w:val="32"/>
          <w:lang w:eastAsia="zh-CN"/>
        </w:rPr>
        <w:t>基层社会治理</w:t>
      </w:r>
      <w:r>
        <w:rPr>
          <w:rFonts w:hint="eastAsia" w:eastAsia="仿宋_GB2312"/>
          <w:color w:val="auto"/>
          <w:spacing w:val="-6"/>
          <w:sz w:val="32"/>
          <w:szCs w:val="32"/>
          <w:lang w:eastAsia="zh-CN"/>
        </w:rPr>
        <w:t>项目的经费支出</w:t>
      </w:r>
      <w:r>
        <w:rPr>
          <w:rFonts w:hint="eastAsia" w:ascii="Times New Roman" w:hAnsi="Times New Roman" w:eastAsia="仿宋_GB2312"/>
          <w:color w:val="auto"/>
          <w:spacing w:val="-6"/>
          <w:sz w:val="32"/>
          <w:szCs w:val="32"/>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auto"/>
          <w:sz w:val="32"/>
          <w:szCs w:val="32"/>
          <w14:textFill>
            <w14:gradFill>
              <w14:gsLst>
                <w14:gs w14:pos="0">
                  <w14:srgbClr w14:val="007BD3"/>
                </w14:gs>
                <w14:gs w14:pos="100000">
                  <w14:srgbClr w14:val="034373"/>
                </w14:gs>
              </w14:gsLst>
              <w14:lin w14:scaled="0"/>
            </w14:gradFill>
          </w14:textFill>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公共安全</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（类）公安（款）其他公安支出（项）:</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6.7</w:t>
      </w:r>
      <w:r>
        <w:rPr>
          <w:rFonts w:hint="eastAsia" w:ascii="Times New Roman" w:hAnsi="Times New Roman" w:eastAsia="仿宋_GB2312"/>
          <w:color w:val="auto"/>
          <w:sz w:val="32"/>
          <w:szCs w:val="32"/>
        </w:rPr>
        <w:t>万元，主要</w:t>
      </w:r>
      <w:r>
        <w:rPr>
          <w:rFonts w:hint="eastAsia" w:ascii="Times New Roman" w:hAnsi="Times New Roman" w:eastAsia="仿宋_GB2312"/>
          <w:color w:val="auto"/>
          <w:sz w:val="32"/>
          <w:szCs w:val="32"/>
          <w:lang w:eastAsia="zh-CN"/>
        </w:rPr>
        <w:t>用于</w:t>
      </w:r>
      <w:r>
        <w:rPr>
          <w:rFonts w:hint="eastAsia" w:eastAsia="仿宋_GB2312"/>
          <w:color w:val="auto"/>
          <w:sz w:val="32"/>
          <w:szCs w:val="32"/>
          <w:lang w:eastAsia="zh-CN"/>
        </w:rPr>
        <w:t>：</w:t>
      </w:r>
      <w:r>
        <w:rPr>
          <w:rFonts w:hint="eastAsia" w:ascii="仿宋_GB2312" w:eastAsia="仿宋_GB2312"/>
          <w:color w:val="auto"/>
          <w:sz w:val="32"/>
          <w:szCs w:val="32"/>
          <w:highlight w:val="none"/>
          <w:lang w:eastAsia="zh-CN"/>
        </w:rPr>
        <w:t>法治内刊</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自贡政法</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项目的经费支出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社会保障和就业</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（类）行政事业单位</w:t>
      </w:r>
      <w:r>
        <w:rPr>
          <w:rFonts w:hint="eastAsia" w:ascii="Times New Roman" w:hAnsi="Times New Roman" w:eastAsia="仿宋_GB2312"/>
          <w:color w:val="auto"/>
          <w:sz w:val="32"/>
          <w:szCs w:val="32"/>
          <w:lang w:eastAsia="zh-CN"/>
        </w:rPr>
        <w:t>养老支出</w:t>
      </w:r>
      <w:r>
        <w:rPr>
          <w:rFonts w:hint="eastAsia" w:ascii="Times New Roman" w:hAnsi="Times New Roman" w:eastAsia="仿宋_GB2312"/>
          <w:color w:val="auto"/>
          <w:sz w:val="32"/>
          <w:szCs w:val="32"/>
        </w:rPr>
        <w:t>（款）机关事业单位基本养老保险缴</w:t>
      </w:r>
      <w:r>
        <w:rPr>
          <w:rFonts w:hint="eastAsia" w:ascii="Times New Roman" w:hAnsi="Times New Roman" w:eastAsia="仿宋_GB2312"/>
          <w:color w:val="auto"/>
          <w:sz w:val="32"/>
          <w:szCs w:val="32"/>
          <w:lang w:eastAsia="zh-CN"/>
        </w:rPr>
        <w:t>费支出</w:t>
      </w:r>
      <w:r>
        <w:rPr>
          <w:rFonts w:hint="eastAsia" w:ascii="Times New Roman" w:hAnsi="Times New Roman" w:eastAsia="仿宋_GB2312"/>
          <w:color w:val="auto"/>
          <w:sz w:val="32"/>
          <w:szCs w:val="32"/>
        </w:rPr>
        <w:t>（项）: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22.22</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在职职工养老保险缴费</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0000FF"/>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olor w:val="auto"/>
          <w:sz w:val="32"/>
          <w:szCs w:val="32"/>
        </w:rPr>
        <w:t>社会保障和就业</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（类）行政事业单位</w:t>
      </w:r>
      <w:r>
        <w:rPr>
          <w:rFonts w:hint="eastAsia" w:ascii="Times New Roman" w:hAnsi="Times New Roman" w:eastAsia="仿宋_GB2312"/>
          <w:color w:val="auto"/>
          <w:sz w:val="32"/>
          <w:szCs w:val="32"/>
          <w:lang w:eastAsia="zh-CN"/>
        </w:rPr>
        <w:t>养老支出</w:t>
      </w:r>
      <w:r>
        <w:rPr>
          <w:rFonts w:hint="eastAsia" w:ascii="Times New Roman" w:hAnsi="Times New Roman" w:eastAsia="仿宋_GB2312"/>
          <w:color w:val="auto"/>
          <w:sz w:val="32"/>
          <w:szCs w:val="32"/>
        </w:rPr>
        <w:t>（款）机关事业单位</w:t>
      </w:r>
      <w:r>
        <w:rPr>
          <w:rFonts w:hint="eastAsia" w:ascii="Times New Roman" w:hAnsi="Times New Roman" w:eastAsia="仿宋_GB2312"/>
          <w:color w:val="auto"/>
          <w:sz w:val="32"/>
          <w:szCs w:val="32"/>
          <w:lang w:eastAsia="zh-CN"/>
        </w:rPr>
        <w:t>职业年金</w:t>
      </w:r>
      <w:r>
        <w:rPr>
          <w:rFonts w:hint="eastAsia" w:ascii="Times New Roman" w:hAnsi="Times New Roman" w:eastAsia="仿宋_GB2312"/>
          <w:color w:val="auto"/>
          <w:sz w:val="32"/>
          <w:szCs w:val="32"/>
        </w:rPr>
        <w:t>缴</w:t>
      </w:r>
      <w:r>
        <w:rPr>
          <w:rFonts w:hint="eastAsia" w:ascii="Times New Roman" w:hAnsi="Times New Roman" w:eastAsia="仿宋_GB2312"/>
          <w:color w:val="auto"/>
          <w:sz w:val="32"/>
          <w:szCs w:val="32"/>
          <w:lang w:eastAsia="zh-CN"/>
        </w:rPr>
        <w:t>费支出</w:t>
      </w:r>
      <w:r>
        <w:rPr>
          <w:rFonts w:hint="eastAsia" w:ascii="Times New Roman" w:hAnsi="Times New Roman" w:eastAsia="仿宋_GB2312"/>
          <w:color w:val="auto"/>
          <w:sz w:val="32"/>
          <w:szCs w:val="32"/>
        </w:rPr>
        <w:t>（项）: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11.11</w:t>
      </w:r>
      <w:r>
        <w:rPr>
          <w:rFonts w:hint="eastAsia" w:ascii="Times New Roman" w:hAnsi="Times New Roman" w:eastAsia="仿宋_GB2312"/>
          <w:color w:val="auto"/>
          <w:sz w:val="32"/>
          <w:szCs w:val="32"/>
        </w:rPr>
        <w:t>万元，主要用于</w:t>
      </w:r>
      <w:r>
        <w:rPr>
          <w:rFonts w:hint="eastAsia" w:eastAsia="仿宋_GB2312"/>
          <w:color w:val="auto"/>
          <w:sz w:val="32"/>
          <w:szCs w:val="32"/>
          <w:lang w:eastAsia="zh-CN"/>
        </w:rPr>
        <w:t>：</w:t>
      </w:r>
      <w:r>
        <w:rPr>
          <w:rFonts w:hint="eastAsia" w:ascii="仿宋_GB2312" w:eastAsia="仿宋_GB2312"/>
          <w:color w:val="auto"/>
          <w:sz w:val="32"/>
          <w:szCs w:val="32"/>
          <w:highlight w:val="none"/>
          <w:lang w:eastAsia="zh-CN"/>
        </w:rPr>
        <w:t>事业人员职业年金缴费</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olor w:val="auto"/>
          <w:sz w:val="32"/>
          <w:szCs w:val="32"/>
        </w:rPr>
        <w:t>卫生健康</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（类）行政</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单位医疗（款）</w:t>
      </w:r>
      <w:r>
        <w:rPr>
          <w:rFonts w:hint="eastAsia" w:ascii="Times New Roman" w:hAnsi="Times New Roman" w:eastAsia="仿宋_GB2312"/>
          <w:color w:val="auto"/>
          <w:sz w:val="32"/>
          <w:szCs w:val="32"/>
          <w:lang w:eastAsia="zh-CN"/>
        </w:rPr>
        <w:t>事业单位医疗</w:t>
      </w:r>
      <w:r>
        <w:rPr>
          <w:rFonts w:hint="eastAsia" w:ascii="Times New Roman" w:hAnsi="Times New Roman" w:eastAsia="仿宋_GB2312"/>
          <w:color w:val="auto"/>
          <w:sz w:val="32"/>
          <w:szCs w:val="32"/>
        </w:rPr>
        <w:t>（项）:</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8.16</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在职职工基本医疗保险缴费</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住房保障</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（类）住房改革支出（款）住房公积金（项）: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11.66</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单位职工住房公积金缴费</w:t>
      </w:r>
      <w:r>
        <w:rPr>
          <w:rFonts w:hint="eastAsia" w:ascii="Times New Roman" w:hAnsi="Times New Roman" w:eastAsia="仿宋_GB2312"/>
          <w:color w:val="auto"/>
          <w:sz w:val="32"/>
          <w:szCs w:val="32"/>
        </w:rPr>
        <w:t>。　</w:t>
      </w:r>
    </w:p>
    <w:p>
      <w:pPr>
        <w:keepNext w:val="0"/>
        <w:keepLines w:val="0"/>
        <w:pageBreakBefore w:val="0"/>
        <w:widowControl w:val="0"/>
        <w:kinsoku/>
        <w:wordWrap/>
        <w:overflowPunct/>
        <w:topLinePunct w:val="0"/>
        <w:bidi w:val="0"/>
        <w:adjustRightInd/>
        <w:snapToGrid/>
        <w:spacing w:line="590" w:lineRule="exact"/>
        <w:ind w:firstLine="570"/>
        <w:jc w:val="both"/>
        <w:textAlignment w:val="auto"/>
        <w:outlineLvl w:val="0"/>
        <w:rPr>
          <w:rFonts w:ascii="Times New Roman" w:hAnsi="Times New Roman" w:eastAsia="黑体"/>
          <w:color w:val="auto"/>
          <w:sz w:val="32"/>
          <w:szCs w:val="32"/>
        </w:rPr>
      </w:pPr>
      <w:bookmarkStart w:id="12" w:name="_Toc5924"/>
      <w:r>
        <w:rPr>
          <w:rFonts w:hint="eastAsia" w:ascii="Times New Roman" w:hAnsi="Times New Roman" w:eastAsia="黑体"/>
          <w:color w:val="auto"/>
          <w:sz w:val="32"/>
          <w:szCs w:val="32"/>
        </w:rPr>
        <w:t>六、一般公共预算基本支出情况说明</w:t>
      </w:r>
      <w:bookmarkEnd w:id="12"/>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年一般公共预算基本支出</w:t>
      </w:r>
      <w:r>
        <w:rPr>
          <w:rFonts w:hint="default" w:ascii="Times New Roman" w:hAnsi="Times New Roman" w:eastAsia="仿宋_GB2312" w:cs="Times New Roman"/>
          <w:color w:val="auto"/>
          <w:sz w:val="32"/>
          <w:szCs w:val="32"/>
          <w:lang w:val="en-US" w:eastAsia="zh-CN"/>
        </w:rPr>
        <w:t>242.24</w:t>
      </w:r>
      <w:r>
        <w:rPr>
          <w:rFonts w:hint="eastAsia" w:ascii="Times New Roman" w:hAnsi="Times New Roman" w:eastAsia="仿宋_GB2312"/>
          <w:color w:val="auto"/>
          <w:sz w:val="32"/>
          <w:szCs w:val="32"/>
        </w:rPr>
        <w:t>万元，其中：</w:t>
      </w:r>
    </w:p>
    <w:p>
      <w:pPr>
        <w:keepNext w:val="0"/>
        <w:keepLines w:val="0"/>
        <w:pageBreakBefore w:val="0"/>
        <w:widowControl w:val="0"/>
        <w:kinsoku/>
        <w:wordWrap/>
        <w:overflowPunct/>
        <w:topLinePunct w:val="0"/>
        <w:bidi w:val="0"/>
        <w:adjustRightInd/>
        <w:snapToGrid/>
        <w:spacing w:line="59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olor w:val="0000FF"/>
          <w:sz w:val="32"/>
          <w:szCs w:val="32"/>
        </w:rPr>
        <w:t>　</w:t>
      </w:r>
      <w:r>
        <w:rPr>
          <w:rFonts w:hint="eastAsia" w:ascii="Times New Roman" w:hAnsi="Times New Roman" w:eastAsia="仿宋_GB2312"/>
          <w:color w:val="auto"/>
          <w:sz w:val="32"/>
          <w:szCs w:val="32"/>
        </w:rPr>
        <w:t>　</w:t>
      </w:r>
      <w:r>
        <w:rPr>
          <w:rFonts w:hint="eastAsia" w:ascii="Times New Roman" w:hAnsi="Times New Roman" w:eastAsia="仿宋_GB2312" w:cs="Times New Roman"/>
          <w:color w:val="auto"/>
          <w:sz w:val="32"/>
          <w:szCs w:val="32"/>
          <w:lang w:val="en-US" w:eastAsia="zh-CN"/>
        </w:rPr>
        <w:t>人员经费</w:t>
      </w:r>
      <w:r>
        <w:rPr>
          <w:rFonts w:hint="default" w:ascii="Times New Roman" w:hAnsi="Times New Roman" w:eastAsia="仿宋_GB2312" w:cs="Times New Roman"/>
          <w:color w:val="auto"/>
          <w:sz w:val="32"/>
          <w:szCs w:val="32"/>
          <w:lang w:val="en-US" w:eastAsia="zh-CN"/>
        </w:rPr>
        <w:t>193.66</w:t>
      </w:r>
      <w:r>
        <w:rPr>
          <w:rFonts w:hint="eastAsia" w:ascii="Times New Roman" w:hAnsi="Times New Roman" w:eastAsia="仿宋_GB2312" w:cs="Times New Roman"/>
          <w:color w:val="auto"/>
          <w:sz w:val="32"/>
          <w:szCs w:val="32"/>
          <w:lang w:val="en-US" w:eastAsia="zh-CN"/>
        </w:rPr>
        <w:t>万元，主要包括：基本工资、津贴补贴、绩效工资、机关事业单位基本养老保险缴费、职业年金缴费、职工基本医疗保险缴费、其他社会保障缴费、住房公积金。</w:t>
      </w:r>
    </w:p>
    <w:p>
      <w:pPr>
        <w:keepNext w:val="0"/>
        <w:keepLines w:val="0"/>
        <w:pageBreakBefore w:val="0"/>
        <w:widowControl w:val="0"/>
        <w:kinsoku/>
        <w:wordWrap/>
        <w:overflowPunct/>
        <w:topLinePunct w:val="0"/>
        <w:bidi w:val="0"/>
        <w:adjustRightInd/>
        <w:snapToGrid/>
        <w:spacing w:line="590" w:lineRule="exact"/>
        <w:ind w:firstLine="616" w:firstLineChars="200"/>
        <w:jc w:val="both"/>
        <w:textAlignment w:val="auto"/>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公用经费</w:t>
      </w:r>
      <w:r>
        <w:rPr>
          <w:rFonts w:hint="default" w:ascii="Times New Roman" w:hAnsi="Times New Roman" w:eastAsia="仿宋_GB2312" w:cs="Times New Roman"/>
          <w:color w:val="auto"/>
          <w:spacing w:val="-6"/>
          <w:sz w:val="32"/>
          <w:szCs w:val="32"/>
          <w:lang w:val="en-US" w:eastAsia="zh-CN"/>
        </w:rPr>
        <w:t>28.86</w:t>
      </w:r>
      <w:r>
        <w:rPr>
          <w:rFonts w:hint="eastAsia" w:ascii="Times New Roman" w:hAnsi="Times New Roman" w:eastAsia="仿宋_GB2312" w:cs="Times New Roman"/>
          <w:color w:val="auto"/>
          <w:spacing w:val="-6"/>
          <w:sz w:val="32"/>
          <w:szCs w:val="32"/>
        </w:rPr>
        <w:t>万元，主要包括：办公费、印刷费、</w:t>
      </w:r>
      <w:r>
        <w:rPr>
          <w:rFonts w:hint="eastAsia" w:eastAsia="仿宋_GB2312" w:cs="Times New Roman"/>
          <w:color w:val="auto"/>
          <w:spacing w:val="-6"/>
          <w:sz w:val="32"/>
          <w:szCs w:val="32"/>
          <w:lang w:eastAsia="zh-CN"/>
        </w:rPr>
        <w:t>咨询费、</w:t>
      </w:r>
      <w:r>
        <w:rPr>
          <w:rFonts w:hint="eastAsia" w:ascii="Times New Roman" w:hAnsi="Times New Roman" w:eastAsia="仿宋_GB2312" w:cs="Times New Roman"/>
          <w:color w:val="auto"/>
          <w:spacing w:val="-6"/>
          <w:sz w:val="32"/>
          <w:szCs w:val="32"/>
        </w:rPr>
        <w:t>手续费、电费、邮电费、差旅费、维修（护）费、会议费、</w:t>
      </w:r>
      <w:r>
        <w:rPr>
          <w:rFonts w:hint="eastAsia" w:eastAsia="仿宋_GB2312" w:cs="Times New Roman"/>
          <w:color w:val="auto"/>
          <w:spacing w:val="-6"/>
          <w:sz w:val="32"/>
          <w:szCs w:val="32"/>
          <w:lang w:eastAsia="zh-CN"/>
        </w:rPr>
        <w:t>公务接待费、</w:t>
      </w:r>
      <w:r>
        <w:rPr>
          <w:rFonts w:hint="eastAsia" w:ascii="Times New Roman" w:hAnsi="Times New Roman" w:eastAsia="仿宋_GB2312" w:cs="Times New Roman"/>
          <w:color w:val="auto"/>
          <w:spacing w:val="-6"/>
          <w:sz w:val="32"/>
          <w:szCs w:val="32"/>
        </w:rPr>
        <w:t>劳务费、</w:t>
      </w:r>
      <w:r>
        <w:rPr>
          <w:rFonts w:hint="eastAsia" w:eastAsia="仿宋_GB2312" w:cs="Times New Roman"/>
          <w:color w:val="auto"/>
          <w:spacing w:val="-6"/>
          <w:sz w:val="32"/>
          <w:szCs w:val="32"/>
          <w:lang w:eastAsia="zh-CN"/>
        </w:rPr>
        <w:t>委托业务费、</w:t>
      </w:r>
      <w:r>
        <w:rPr>
          <w:rFonts w:hint="eastAsia" w:ascii="Times New Roman" w:hAnsi="Times New Roman" w:eastAsia="仿宋_GB2312" w:cs="Times New Roman"/>
          <w:color w:val="auto"/>
          <w:spacing w:val="-6"/>
          <w:sz w:val="32"/>
          <w:szCs w:val="32"/>
        </w:rPr>
        <w:t>工会经费、其他商品和服务等支出。</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13" w:name="_Toc16014"/>
      <w:r>
        <w:rPr>
          <w:rFonts w:hint="eastAsia" w:ascii="Times New Roman" w:hAnsi="Times New Roman" w:eastAsia="黑体"/>
          <w:color w:val="auto"/>
          <w:sz w:val="32"/>
          <w:szCs w:val="32"/>
        </w:rPr>
        <w:t>七、</w:t>
      </w:r>
      <w:r>
        <w:rPr>
          <w:rFonts w:hint="eastAsia" w:ascii="仿宋_GB2312" w:hAnsi="仿宋_GB2312" w:eastAsia="仿宋_GB2312" w:cs="仿宋_GB2312"/>
          <w:color w:val="auto"/>
          <w:sz w:val="32"/>
          <w:szCs w:val="32"/>
        </w:rPr>
        <w:t>“</w:t>
      </w:r>
      <w:r>
        <w:rPr>
          <w:rFonts w:hint="eastAsia" w:ascii="Times New Roman" w:hAnsi="Times New Roman" w:eastAsia="黑体"/>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黑体"/>
          <w:color w:val="auto"/>
          <w:sz w:val="32"/>
          <w:szCs w:val="32"/>
        </w:rPr>
        <w:t>经费财政拨款预算安排情况</w:t>
      </w:r>
      <w:bookmarkEnd w:id="13"/>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经费财政拨款预算数</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olor w:val="auto"/>
          <w:sz w:val="32"/>
          <w:szCs w:val="32"/>
          <w:lang w:val="en-US" w:eastAsia="zh-CN"/>
        </w:rPr>
        <w:t>年持平。</w:t>
      </w:r>
      <w:r>
        <w:rPr>
          <w:rFonts w:hint="eastAsia" w:ascii="Times New Roman" w:hAnsi="Times New Roman" w:eastAsia="仿宋_GB2312"/>
          <w:color w:val="auto"/>
          <w:sz w:val="32"/>
          <w:szCs w:val="32"/>
        </w:rPr>
        <w:t>其中：因公出国（境）经费</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万元，公务接待费</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rPr>
        <w:t>万元，公务用车购置及运行维护费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w:t>
      </w:r>
    </w:p>
    <w:p>
      <w:pPr>
        <w:keepNext w:val="0"/>
        <w:keepLines w:val="0"/>
        <w:pageBreakBefore w:val="0"/>
        <w:widowControl w:val="0"/>
        <w:numPr>
          <w:ilvl w:val="0"/>
          <w:numId w:val="2"/>
        </w:numPr>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因公出国（境）经费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较</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年预算</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overflowPunct/>
        <w:topLinePunct w:val="0"/>
        <w:bidi w:val="0"/>
        <w:adjustRightInd/>
        <w:snapToGrid/>
        <w:spacing w:line="590" w:lineRule="exact"/>
        <w:ind w:firstLine="643" w:firstLineChars="200"/>
        <w:jc w:val="both"/>
        <w:textAlignment w:val="auto"/>
        <w:rPr>
          <w:rFonts w:hint="default" w:ascii="Times New Roman" w:hAnsi="Times New Roman" w:eastAsia="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2024</w:t>
      </w:r>
      <w:r>
        <w:rPr>
          <w:rFonts w:hint="eastAsia" w:ascii="Times New Roman" w:hAnsi="Times New Roman" w:eastAsia="仿宋_GB2312"/>
          <w:b/>
          <w:bCs/>
          <w:color w:val="auto"/>
          <w:sz w:val="32"/>
          <w:szCs w:val="32"/>
          <w:lang w:val="en-US" w:eastAsia="zh-CN"/>
        </w:rPr>
        <w:t>年拟安排出国（境）团组</w:t>
      </w:r>
      <w:r>
        <w:rPr>
          <w:rFonts w:hint="default" w:ascii="Times New Roman" w:hAnsi="Times New Roman" w:eastAsia="仿宋_GB2312" w:cs="Times New Roman"/>
          <w:b/>
          <w:bCs/>
          <w:color w:val="auto"/>
          <w:sz w:val="32"/>
          <w:szCs w:val="32"/>
          <w:lang w:val="en-US" w:eastAsia="zh-CN"/>
        </w:rPr>
        <w:t>0</w:t>
      </w:r>
      <w:r>
        <w:rPr>
          <w:rFonts w:hint="eastAsia" w:ascii="Times New Roman" w:hAnsi="Times New Roman" w:eastAsia="仿宋_GB2312"/>
          <w:b/>
          <w:bCs/>
          <w:color w:val="auto"/>
          <w:sz w:val="32"/>
          <w:szCs w:val="32"/>
          <w:lang w:val="en-US" w:eastAsia="zh-CN"/>
        </w:rPr>
        <w:t>个，</w:t>
      </w:r>
      <w:r>
        <w:rPr>
          <w:rFonts w:hint="default" w:ascii="Times New Roman" w:hAnsi="Times New Roman" w:eastAsia="仿宋_GB2312" w:cs="Times New Roman"/>
          <w:b/>
          <w:bCs/>
          <w:color w:val="auto"/>
          <w:sz w:val="32"/>
          <w:szCs w:val="32"/>
          <w:lang w:val="en-US" w:eastAsia="zh-CN"/>
        </w:rPr>
        <w:t>0</w:t>
      </w:r>
      <w:r>
        <w:rPr>
          <w:rFonts w:hint="eastAsia" w:ascii="Times New Roman" w:hAnsi="Times New Roman" w:eastAsia="仿宋_GB2312"/>
          <w:b/>
          <w:bCs/>
          <w:color w:val="auto"/>
          <w:sz w:val="32"/>
          <w:szCs w:val="32"/>
          <w:lang w:val="en-US" w:eastAsia="zh-CN"/>
        </w:rPr>
        <w:t>人次。</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（二）公务接待费</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lang w:val="en-US" w:eastAsia="zh-CN"/>
        </w:rPr>
        <w:t>万元，较</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olor w:val="auto"/>
          <w:sz w:val="32"/>
          <w:szCs w:val="32"/>
          <w:lang w:val="en-US" w:eastAsia="zh-CN"/>
        </w:rPr>
        <w:t>年持平</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b/>
          <w:bCs/>
          <w:color w:val="auto"/>
          <w:sz w:val="32"/>
          <w:szCs w:val="32"/>
          <w:lang w:val="en-US" w:eastAsia="zh-CN"/>
        </w:rPr>
      </w:pPr>
      <w:r>
        <w:rPr>
          <w:rFonts w:hint="default" w:ascii="Times New Roman" w:hAnsi="Times New Roman" w:eastAsia="仿宋_GB2312" w:cs="Times New Roman"/>
          <w:b/>
          <w:bCs/>
          <w:color w:val="auto"/>
          <w:sz w:val="32"/>
          <w:szCs w:val="32"/>
          <w:lang w:eastAsia="zh-CN"/>
        </w:rPr>
        <w:t>202</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b/>
          <w:bCs/>
          <w:color w:val="auto"/>
          <w:sz w:val="32"/>
          <w:szCs w:val="32"/>
        </w:rPr>
        <w:t>年公务接待费计划用于执行公务、考察调研、检查指导等公务活动开支</w:t>
      </w:r>
      <w:r>
        <w:rPr>
          <w:rFonts w:hint="eastAsia" w:ascii="Times New Roman" w:hAnsi="Times New Roman" w:eastAsia="仿宋_GB2312"/>
          <w:b/>
          <w:bCs/>
          <w:color w:val="auto"/>
          <w:sz w:val="32"/>
          <w:szCs w:val="32"/>
          <w:lang w:eastAsia="zh-CN"/>
        </w:rPr>
        <w:t>，预计接待</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b/>
          <w:bCs/>
          <w:color w:val="auto"/>
          <w:sz w:val="32"/>
          <w:szCs w:val="32"/>
          <w:lang w:val="en-US" w:eastAsia="zh-CN"/>
        </w:rPr>
        <w:t>批次，</w:t>
      </w:r>
      <w:r>
        <w:rPr>
          <w:rFonts w:hint="default" w:ascii="Times New Roman" w:hAnsi="Times New Roman" w:eastAsia="仿宋_GB2312" w:cs="Times New Roman"/>
          <w:b/>
          <w:bCs/>
          <w:color w:val="auto"/>
          <w:sz w:val="32"/>
          <w:szCs w:val="32"/>
          <w:lang w:val="en-US" w:eastAsia="zh-CN"/>
        </w:rPr>
        <w:t>10</w:t>
      </w:r>
      <w:r>
        <w:rPr>
          <w:rFonts w:hint="eastAsia" w:ascii="Times New Roman" w:hAnsi="Times New Roman" w:eastAsia="仿宋_GB2312"/>
          <w:b/>
          <w:bCs/>
          <w:color w:val="auto"/>
          <w:sz w:val="32"/>
          <w:szCs w:val="32"/>
          <w:lang w:val="en-US" w:eastAsia="zh-CN"/>
        </w:rPr>
        <w:t>人次。</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）公务用车购置</w:t>
      </w:r>
      <w:r>
        <w:rPr>
          <w:rFonts w:hint="eastAsia" w:ascii="Times New Roman" w:hAnsi="Times New Roman" w:eastAsia="仿宋_GB2312"/>
          <w:color w:val="auto"/>
          <w:sz w:val="32"/>
          <w:szCs w:val="32"/>
          <w:lang w:eastAsia="zh-CN"/>
        </w:rPr>
        <w:t>及运行维护费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万元，较</w:t>
      </w:r>
      <w:r>
        <w:rPr>
          <w:rFonts w:hint="eastAsia" w:eastAsia="仿宋_GB2312"/>
          <w:color w:val="auto"/>
          <w:sz w:val="32"/>
          <w:szCs w:val="32"/>
          <w:lang w:val="en-US" w:eastAsia="zh-CN"/>
        </w:rPr>
        <w:t>2023</w:t>
      </w:r>
      <w:r>
        <w:rPr>
          <w:rFonts w:hint="eastAsia" w:ascii="Times New Roman" w:hAnsi="Times New Roman" w:eastAsia="仿宋_GB2312"/>
          <w:color w:val="auto"/>
          <w:sz w:val="32"/>
          <w:szCs w:val="32"/>
          <w:lang w:val="en-US" w:eastAsia="zh-CN"/>
        </w:rPr>
        <w:t>年持平。</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单位现有公务用车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，越野车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辆，多功能乘用车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辆。</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Times New Roman" w:hAnsi="Times New Roman" w:eastAsia="仿宋_GB2312"/>
          <w:color w:val="auto"/>
          <w:sz w:val="32"/>
          <w:szCs w:val="32"/>
        </w:rPr>
        <w:t>年安排公务用车购置费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万元，较</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Times New Roman" w:hAnsi="Times New Roman" w:eastAsia="仿宋_GB2312"/>
          <w:color w:val="auto"/>
          <w:sz w:val="32"/>
          <w:szCs w:val="32"/>
        </w:rPr>
        <w:t>年预算持平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highlight w:val="none"/>
          <w:lang w:val="en-US" w:eastAsia="zh-CN"/>
        </w:rPr>
        <w:t>拟购置</w:t>
      </w:r>
      <w:r>
        <w:rPr>
          <w:rFonts w:hint="eastAsia" w:ascii="Times New Roman" w:hAnsi="Times New Roman" w:eastAsia="仿宋_GB2312"/>
          <w:color w:val="auto"/>
          <w:sz w:val="32"/>
          <w:szCs w:val="32"/>
          <w:highlight w:val="none"/>
        </w:rPr>
        <w:t>公务用车</w:t>
      </w:r>
      <w:r>
        <w:rPr>
          <w:rFonts w:hint="default"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olor w:val="auto"/>
          <w:sz w:val="32"/>
          <w:szCs w:val="32"/>
          <w:highlight w:val="none"/>
        </w:rPr>
        <w:t>辆。</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pacing w:val="-6"/>
          <w:sz w:val="32"/>
          <w:szCs w:val="32"/>
          <w:lang w:val="en-US" w:eastAsia="zh-CN"/>
        </w:rPr>
      </w:pPr>
      <w:r>
        <w:rPr>
          <w:rFonts w:hint="default" w:ascii="Times New Roman" w:hAnsi="Times New Roman" w:eastAsia="仿宋_GB2312" w:cs="Times New Roman"/>
          <w:color w:val="auto"/>
          <w:spacing w:val="-6"/>
          <w:sz w:val="32"/>
          <w:szCs w:val="32"/>
        </w:rPr>
        <w:t>20</w:t>
      </w:r>
      <w:r>
        <w:rPr>
          <w:rFonts w:hint="default" w:ascii="Times New Roman" w:hAnsi="Times New Roman" w:eastAsia="仿宋_GB2312" w:cs="Times New Roman"/>
          <w:color w:val="auto"/>
          <w:spacing w:val="-6"/>
          <w:sz w:val="32"/>
          <w:szCs w:val="32"/>
          <w:lang w:val="en-US" w:eastAsia="zh-CN"/>
        </w:rPr>
        <w:t>24</w:t>
      </w:r>
      <w:r>
        <w:rPr>
          <w:rFonts w:hint="eastAsia" w:ascii="Times New Roman" w:hAnsi="Times New Roman" w:eastAsia="仿宋_GB2312"/>
          <w:color w:val="auto"/>
          <w:spacing w:val="-6"/>
          <w:sz w:val="32"/>
          <w:szCs w:val="32"/>
        </w:rPr>
        <w:t>年安排公务用车运行维护费</w:t>
      </w:r>
      <w:r>
        <w:rPr>
          <w:rFonts w:hint="default" w:ascii="Times New Roman" w:hAnsi="Times New Roman" w:eastAsia="仿宋_GB2312" w:cs="Times New Roman"/>
          <w:color w:val="auto"/>
          <w:spacing w:val="-6"/>
          <w:sz w:val="32"/>
          <w:szCs w:val="32"/>
          <w:lang w:val="en-US" w:eastAsia="zh-CN"/>
        </w:rPr>
        <w:t>0</w:t>
      </w:r>
      <w:r>
        <w:rPr>
          <w:rFonts w:hint="eastAsia" w:ascii="Times New Roman" w:hAnsi="Times New Roman" w:eastAsia="仿宋_GB2312"/>
          <w:color w:val="auto"/>
          <w:spacing w:val="-6"/>
          <w:sz w:val="32"/>
          <w:szCs w:val="32"/>
        </w:rPr>
        <w:t>万元，较</w:t>
      </w:r>
      <w:r>
        <w:rPr>
          <w:rFonts w:hint="default" w:ascii="Times New Roman" w:hAnsi="Times New Roman" w:eastAsia="仿宋_GB2312" w:cs="Times New Roman"/>
          <w:color w:val="auto"/>
          <w:spacing w:val="-6"/>
          <w:sz w:val="32"/>
          <w:szCs w:val="32"/>
        </w:rPr>
        <w:t>20</w:t>
      </w:r>
      <w:r>
        <w:rPr>
          <w:rFonts w:hint="default" w:ascii="Times New Roman" w:hAnsi="Times New Roman" w:eastAsia="仿宋_GB2312" w:cs="Times New Roman"/>
          <w:color w:val="auto"/>
          <w:spacing w:val="-6"/>
          <w:sz w:val="32"/>
          <w:szCs w:val="32"/>
          <w:lang w:val="en-US" w:eastAsia="zh-CN"/>
        </w:rPr>
        <w:t>23</w:t>
      </w:r>
      <w:r>
        <w:rPr>
          <w:rFonts w:hint="eastAsia" w:ascii="Times New Roman" w:hAnsi="Times New Roman" w:eastAsia="仿宋_GB2312"/>
          <w:color w:val="auto"/>
          <w:spacing w:val="-6"/>
          <w:sz w:val="32"/>
          <w:szCs w:val="32"/>
        </w:rPr>
        <w:t>年预算持平。</w:t>
      </w:r>
    </w:p>
    <w:p>
      <w:pPr>
        <w:keepNext w:val="0"/>
        <w:keepLines w:val="0"/>
        <w:pageBreakBefore w:val="0"/>
        <w:widowControl w:val="0"/>
        <w:kinsoku/>
        <w:wordWrap/>
        <w:overflowPunct/>
        <w:topLinePunct w:val="0"/>
        <w:bidi w:val="0"/>
        <w:adjustRightInd/>
        <w:snapToGrid/>
        <w:spacing w:line="590" w:lineRule="exact"/>
        <w:ind w:firstLine="640"/>
        <w:jc w:val="both"/>
        <w:textAlignment w:val="auto"/>
        <w:outlineLvl w:val="0"/>
        <w:rPr>
          <w:rFonts w:ascii="Times New Roman" w:hAnsi="Times New Roman" w:eastAsia="仿宋_GB2312"/>
          <w:color w:val="auto"/>
          <w:sz w:val="32"/>
          <w:szCs w:val="32"/>
        </w:rPr>
      </w:pPr>
      <w:bookmarkStart w:id="14" w:name="_Toc16117"/>
      <w:r>
        <w:rPr>
          <w:rFonts w:hint="eastAsia" w:ascii="Times New Roman" w:hAnsi="Times New Roman" w:eastAsia="黑体"/>
          <w:color w:val="auto"/>
          <w:sz w:val="32"/>
          <w:szCs w:val="32"/>
        </w:rPr>
        <w:t>八、政府性基金预算支出情况说明</w:t>
      </w:r>
      <w:bookmarkEnd w:id="14"/>
      <w:r>
        <w:rPr>
          <w:rFonts w:hint="eastAsia" w:ascii="Times New Roman" w:hAnsi="Times New Roman" w:eastAsia="仿宋_GB2312"/>
          <w:color w:val="auto"/>
          <w:sz w:val="32"/>
          <w:szCs w:val="32"/>
        </w:rPr>
        <w:t>　</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市法学会单位</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24</w:t>
      </w:r>
      <w:r>
        <w:rPr>
          <w:rFonts w:hint="eastAsia" w:ascii="Times New Roman" w:hAnsi="Times New Roman" w:eastAsia="仿宋_GB2312"/>
          <w:color w:val="auto"/>
          <w:sz w:val="32"/>
          <w:szCs w:val="32"/>
        </w:rPr>
        <w:t>年使用政府性基金预算拨款安排</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w:t>
      </w:r>
    </w:p>
    <w:p>
      <w:pPr>
        <w:keepNext w:val="0"/>
        <w:keepLines w:val="0"/>
        <w:pageBreakBefore w:val="0"/>
        <w:widowControl w:val="0"/>
        <w:kinsoku/>
        <w:wordWrap/>
        <w:overflowPunct/>
        <w:topLinePunct w:val="0"/>
        <w:bidi w:val="0"/>
        <w:adjustRightInd/>
        <w:snapToGrid/>
        <w:spacing w:line="590" w:lineRule="exact"/>
        <w:ind w:firstLine="570"/>
        <w:jc w:val="both"/>
        <w:textAlignment w:val="auto"/>
        <w:outlineLvl w:val="0"/>
        <w:rPr>
          <w:rFonts w:ascii="Times New Roman" w:hAnsi="Times New Roman" w:eastAsia="黑体"/>
          <w:color w:val="auto"/>
          <w:sz w:val="32"/>
          <w:szCs w:val="32"/>
        </w:rPr>
      </w:pPr>
      <w:bookmarkStart w:id="15" w:name="_Toc9727"/>
      <w:r>
        <w:rPr>
          <w:rFonts w:hint="eastAsia" w:ascii="Times New Roman" w:hAnsi="Times New Roman" w:eastAsia="黑体"/>
          <w:color w:val="auto"/>
          <w:sz w:val="32"/>
          <w:szCs w:val="32"/>
        </w:rPr>
        <w:t>九、国有资本经营预算支出情况说明</w:t>
      </w:r>
      <w:bookmarkEnd w:id="15"/>
    </w:p>
    <w:p>
      <w:pPr>
        <w:keepNext w:val="0"/>
        <w:keepLines w:val="0"/>
        <w:pageBreakBefore w:val="0"/>
        <w:widowControl w:val="0"/>
        <w:kinsoku/>
        <w:wordWrap/>
        <w:overflowPunct/>
        <w:topLinePunct w:val="0"/>
        <w:bidi w:val="0"/>
        <w:adjustRightInd/>
        <w:snapToGrid/>
        <w:spacing w:line="590" w:lineRule="exact"/>
        <w:jc w:val="both"/>
        <w:textAlignment w:val="auto"/>
        <w:rPr>
          <w:rFonts w:ascii="Times New Roman" w:hAnsi="Times New Roman" w:eastAsia="仿宋_GB2312"/>
          <w:color w:val="auto"/>
          <w:sz w:val="28"/>
          <w:szCs w:val="28"/>
        </w:rPr>
      </w:pPr>
      <w:r>
        <w:rPr>
          <w:rFonts w:hint="eastAsia" w:ascii="Times New Roman" w:hAnsi="Times New Roman" w:eastAsia="仿宋_GB2312"/>
          <w:color w:val="auto"/>
          <w:sz w:val="32"/>
          <w:szCs w:val="32"/>
        </w:rPr>
        <w:t>　　自贡</w:t>
      </w:r>
      <w:r>
        <w:rPr>
          <w:rFonts w:hint="eastAsia" w:ascii="Times New Roman" w:hAnsi="Times New Roman" w:eastAsia="仿宋_GB2312"/>
          <w:color w:val="auto"/>
          <w:sz w:val="32"/>
          <w:szCs w:val="32"/>
          <w:lang w:eastAsia="zh-CN"/>
        </w:rPr>
        <w:t>市法学会单位</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年没有使用国有资本经营预算拨款安排的支出。</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16" w:name="_Toc5009"/>
      <w:r>
        <w:rPr>
          <w:rFonts w:hint="eastAsia" w:ascii="Times New Roman" w:hAnsi="Times New Roman" w:eastAsia="黑体"/>
          <w:color w:val="auto"/>
          <w:sz w:val="32"/>
          <w:szCs w:val="32"/>
        </w:rPr>
        <w:t>十、其他重要事项的情况说明</w:t>
      </w:r>
      <w:bookmarkEnd w:id="16"/>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7" w:name="_Toc4219"/>
      <w:r>
        <w:rPr>
          <w:rFonts w:hint="eastAsia" w:ascii="Times New Roman" w:hAnsi="Times New Roman" w:eastAsia="楷体_GB2312" w:cs="楷体_GB2312"/>
          <w:b w:val="0"/>
          <w:bCs w:val="0"/>
          <w:color w:val="auto"/>
          <w:kern w:val="2"/>
          <w:sz w:val="32"/>
          <w:szCs w:val="32"/>
          <w:lang w:val="en-US" w:eastAsia="zh-CN" w:bidi="ar-SA"/>
        </w:rPr>
        <w:t>（一）机关运行经费情况</w:t>
      </w:r>
      <w:bookmarkEnd w:id="17"/>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市法学会单位为事业单位，无机关运行经费</w:t>
      </w:r>
      <w:r>
        <w:rPr>
          <w:rFonts w:hint="eastAsia" w:ascii="Times New Roman" w:hAnsi="Times New Roman" w:eastAsia="仿宋_GB2312"/>
          <w:color w:val="auto"/>
          <w:sz w:val="32"/>
          <w:szCs w:val="32"/>
        </w:rPr>
        <w:t>。</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8" w:name="_Toc32716"/>
      <w:r>
        <w:rPr>
          <w:rFonts w:hint="eastAsia" w:ascii="Times New Roman" w:hAnsi="Times New Roman" w:eastAsia="楷体_GB2312" w:cs="楷体_GB2312"/>
          <w:b w:val="0"/>
          <w:bCs w:val="0"/>
          <w:color w:val="auto"/>
          <w:kern w:val="2"/>
          <w:sz w:val="32"/>
          <w:szCs w:val="32"/>
          <w:lang w:val="en-US" w:eastAsia="zh-CN" w:bidi="ar-SA"/>
        </w:rPr>
        <w:t>（二）政府采购情况</w:t>
      </w:r>
      <w:bookmarkEnd w:id="18"/>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年自贡</w:t>
      </w:r>
      <w:r>
        <w:rPr>
          <w:rFonts w:hint="eastAsia" w:ascii="Times New Roman" w:hAnsi="Times New Roman" w:eastAsia="仿宋_GB2312"/>
          <w:color w:val="auto"/>
          <w:sz w:val="32"/>
          <w:szCs w:val="32"/>
          <w:lang w:eastAsia="zh-CN"/>
        </w:rPr>
        <w:t>市法学会单位</w:t>
      </w:r>
      <w:r>
        <w:rPr>
          <w:rFonts w:hint="eastAsia" w:ascii="Times New Roman" w:hAnsi="Times New Roman" w:eastAsia="仿宋_GB2312"/>
          <w:color w:val="auto"/>
          <w:sz w:val="32"/>
          <w:szCs w:val="32"/>
        </w:rPr>
        <w:t>安排政府采购预算</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9" w:name="_Toc6880"/>
      <w:r>
        <w:rPr>
          <w:rFonts w:hint="eastAsia" w:ascii="Times New Roman" w:hAnsi="Times New Roman" w:eastAsia="楷体_GB2312" w:cs="楷体_GB2312"/>
          <w:b w:val="0"/>
          <w:bCs w:val="0"/>
          <w:color w:val="auto"/>
          <w:kern w:val="2"/>
          <w:sz w:val="32"/>
          <w:szCs w:val="32"/>
          <w:lang w:val="en-US" w:eastAsia="zh-CN" w:bidi="ar-SA"/>
        </w:rPr>
        <w:t>（三）国有资产占有使用情况</w:t>
      </w:r>
      <w:bookmarkEnd w:id="19"/>
    </w:p>
    <w:p>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28"/>
          <w:szCs w:val="28"/>
        </w:rPr>
        <w:t>　　</w:t>
      </w:r>
      <w:r>
        <w:rPr>
          <w:rFonts w:hint="eastAsia" w:ascii="Times New Roman" w:hAnsi="Times New Roman" w:eastAsia="仿宋_GB2312"/>
          <w:color w:val="auto"/>
          <w:sz w:val="32"/>
          <w:szCs w:val="32"/>
        </w:rPr>
        <w:t>截至</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年底，自贡</w:t>
      </w:r>
      <w:r>
        <w:rPr>
          <w:rFonts w:hint="eastAsia" w:ascii="Times New Roman" w:hAnsi="Times New Roman" w:eastAsia="仿宋_GB2312"/>
          <w:color w:val="auto"/>
          <w:sz w:val="32"/>
          <w:szCs w:val="32"/>
          <w:lang w:eastAsia="zh-CN"/>
        </w:rPr>
        <w:t>市法学会</w:t>
      </w:r>
      <w:r>
        <w:rPr>
          <w:rFonts w:hint="eastAsia" w:ascii="Times New Roman" w:hAnsi="Times New Roman" w:eastAsia="仿宋_GB2312"/>
          <w:color w:val="auto"/>
          <w:sz w:val="32"/>
          <w:szCs w:val="32"/>
        </w:rPr>
        <w:t>所属各预算单位共有车辆</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辆，其中，一般公务用车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辆、执法执勤用车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Times New Roman" w:hAnsi="Times New Roman" w:eastAsia="仿宋_GB2312"/>
          <w:color w:val="auto"/>
          <w:sz w:val="32"/>
          <w:szCs w:val="32"/>
        </w:rPr>
        <w:t>万元以上大型设备</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台（套）。</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预算安排购置一般公务用车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辆、执法执勤用车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Times New Roman" w:hAnsi="Times New Roman" w:eastAsia="仿宋_GB2312"/>
          <w:color w:val="auto"/>
          <w:sz w:val="32"/>
          <w:szCs w:val="32"/>
        </w:rPr>
        <w:t>万元以上大型设备</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台（套）。</w:t>
      </w:r>
    </w:p>
    <w:p>
      <w:pPr>
        <w:pStyle w:val="4"/>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r>
        <w:rPr>
          <w:rFonts w:hint="eastAsia" w:ascii="Times New Roman" w:hAnsi="Times New Roman" w:eastAsia="楷体_GB2312" w:cs="楷体_GB2312"/>
          <w:b w:val="0"/>
          <w:bCs w:val="0"/>
          <w:color w:val="auto"/>
          <w:kern w:val="2"/>
          <w:sz w:val="32"/>
          <w:szCs w:val="32"/>
          <w:lang w:val="en-US" w:eastAsia="zh-CN" w:bidi="ar-SA"/>
        </w:rPr>
        <w:t>（四）绩效目标设置情况</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的原则，</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年自贡</w:t>
      </w:r>
      <w:r>
        <w:rPr>
          <w:rFonts w:hint="eastAsia" w:ascii="Times New Roman" w:hAnsi="Times New Roman" w:eastAsia="仿宋_GB2312"/>
          <w:color w:val="auto"/>
          <w:sz w:val="32"/>
          <w:szCs w:val="32"/>
          <w:lang w:eastAsia="zh-CN"/>
        </w:rPr>
        <w:t>市法学会</w:t>
      </w:r>
      <w:r>
        <w:rPr>
          <w:rFonts w:hint="eastAsia" w:ascii="Times New Roman" w:hAnsi="Times New Roman" w:eastAsia="仿宋_GB2312"/>
          <w:color w:val="auto"/>
          <w:sz w:val="32"/>
          <w:szCs w:val="32"/>
        </w:rPr>
        <w:t>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10"/>
        <w:keepNext w:val="0"/>
        <w:keepLines w:val="0"/>
        <w:pageBreakBefore w:val="0"/>
        <w:widowControl w:val="0"/>
        <w:kinsoku/>
        <w:wordWrap/>
        <w:overflowPunct/>
        <w:topLinePunct w:val="0"/>
        <w:bidi w:val="0"/>
        <w:adjustRightInd/>
        <w:snapToGrid/>
        <w:spacing w:after="0" w:line="590" w:lineRule="exact"/>
        <w:ind w:left="0" w:leftChars="0"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本单位</w:t>
      </w: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olor w:val="auto"/>
          <w:sz w:val="32"/>
          <w:szCs w:val="32"/>
          <w:lang w:val="en-US" w:eastAsia="zh-CN"/>
        </w:rPr>
        <w:t>年单位预算无重点项目。</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20" w:name="_Toc31993"/>
      <w:r>
        <w:rPr>
          <w:rFonts w:hint="eastAsia" w:ascii="Times New Roman" w:hAnsi="Times New Roman" w:eastAsia="黑体"/>
          <w:color w:val="auto"/>
          <w:sz w:val="32"/>
          <w:szCs w:val="32"/>
        </w:rPr>
        <w:t>十一、名词解释</w:t>
      </w:r>
      <w:bookmarkEnd w:id="20"/>
    </w:p>
    <w:p>
      <w:pPr>
        <w:keepNext w:val="0"/>
        <w:keepLines w:val="0"/>
        <w:pageBreakBefore w:val="0"/>
        <w:widowControl w:val="0"/>
        <w:kinsoku/>
        <w:wordWrap/>
        <w:overflowPunct/>
        <w:topLinePunct w:val="0"/>
        <w:bidi w:val="0"/>
        <w:adjustRightInd/>
        <w:snapToGrid/>
        <w:spacing w:line="590" w:lineRule="exact"/>
        <w:ind w:firstLine="729" w:firstLineChars="228"/>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一般公共预算拨款收入：指市级财政当年拨付的资金。</w:t>
      </w:r>
    </w:p>
    <w:p>
      <w:pPr>
        <w:keepNext w:val="0"/>
        <w:keepLines w:val="0"/>
        <w:pageBreakBefore w:val="0"/>
        <w:widowControl w:val="0"/>
        <w:kinsoku/>
        <w:wordWrap/>
        <w:overflowPunct/>
        <w:topLinePunct w:val="0"/>
        <w:bidi w:val="0"/>
        <w:adjustRightInd/>
        <w:snapToGrid/>
        <w:spacing w:line="590" w:lineRule="exact"/>
        <w:ind w:left="0" w:leftChars="0" w:right="0" w:rightChars="0"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事业收入：</w:t>
      </w:r>
      <w:r>
        <w:rPr>
          <w:rFonts w:hint="eastAsia" w:ascii="仿宋_GB2312" w:eastAsia="仿宋_GB2312"/>
          <w:color w:val="auto"/>
          <w:sz w:val="32"/>
          <w:szCs w:val="32"/>
        </w:rPr>
        <w:t>指事业单位开展专业业务活动及辅助活动所取得的收入。</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上年结转：指以前年度尚未完成，结转到本年仍按原规定用途继续使用的资金。</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公共安全支出（类）公安（款）</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运行（项）：指事业单位用于保障机构正常运行、开展日常工作的基本支出。</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pacing w:val="-6"/>
          <w:sz w:val="32"/>
          <w:szCs w:val="32"/>
        </w:rPr>
      </w:pPr>
      <w:r>
        <w:rPr>
          <w:rFonts w:hint="default" w:ascii="Times New Roman" w:hAnsi="Times New Roman" w:eastAsia="仿宋_GB2312" w:cs="Times New Roman"/>
          <w:color w:val="auto"/>
          <w:spacing w:val="-6"/>
          <w:sz w:val="32"/>
          <w:szCs w:val="32"/>
        </w:rPr>
        <w:t>5.</w:t>
      </w:r>
      <w:r>
        <w:rPr>
          <w:rFonts w:hint="eastAsia" w:ascii="Times New Roman" w:hAnsi="Times New Roman" w:eastAsia="仿宋_GB2312"/>
          <w:color w:val="auto"/>
          <w:spacing w:val="-6"/>
          <w:sz w:val="32"/>
          <w:szCs w:val="32"/>
        </w:rPr>
        <w:t>社会保障和就业（类）行政事业单位</w:t>
      </w:r>
      <w:r>
        <w:rPr>
          <w:rFonts w:hint="eastAsia" w:ascii="Times New Roman" w:hAnsi="Times New Roman" w:eastAsia="仿宋_GB2312"/>
          <w:color w:val="auto"/>
          <w:spacing w:val="-6"/>
          <w:sz w:val="32"/>
          <w:szCs w:val="32"/>
          <w:lang w:eastAsia="zh-CN"/>
        </w:rPr>
        <w:t>养老支出</w:t>
      </w:r>
      <w:r>
        <w:rPr>
          <w:rFonts w:hint="eastAsia" w:ascii="Times New Roman" w:hAnsi="Times New Roman" w:eastAsia="仿宋_GB2312"/>
          <w:color w:val="auto"/>
          <w:spacing w:val="-6"/>
          <w:sz w:val="32"/>
          <w:szCs w:val="32"/>
        </w:rPr>
        <w:t>（款）机关事业单位基本养老保险缴</w:t>
      </w:r>
      <w:r>
        <w:rPr>
          <w:rFonts w:hint="eastAsia" w:ascii="Times New Roman" w:hAnsi="Times New Roman" w:eastAsia="仿宋_GB2312"/>
          <w:color w:val="auto"/>
          <w:spacing w:val="-6"/>
          <w:sz w:val="32"/>
          <w:szCs w:val="32"/>
          <w:lang w:eastAsia="zh-CN"/>
        </w:rPr>
        <w:t>费支出和</w:t>
      </w:r>
      <w:r>
        <w:rPr>
          <w:rFonts w:hint="eastAsia" w:ascii="Times New Roman" w:hAnsi="Times New Roman" w:eastAsia="仿宋_GB2312"/>
          <w:color w:val="auto"/>
          <w:spacing w:val="-6"/>
          <w:sz w:val="32"/>
          <w:szCs w:val="32"/>
        </w:rPr>
        <w:t>机关事业单位</w:t>
      </w:r>
      <w:r>
        <w:rPr>
          <w:rFonts w:hint="eastAsia" w:ascii="Times New Roman" w:hAnsi="Times New Roman" w:eastAsia="仿宋_GB2312"/>
          <w:color w:val="auto"/>
          <w:spacing w:val="-6"/>
          <w:sz w:val="32"/>
          <w:szCs w:val="32"/>
          <w:lang w:eastAsia="zh-CN"/>
        </w:rPr>
        <w:t>职业年金</w:t>
      </w:r>
      <w:r>
        <w:rPr>
          <w:rFonts w:hint="eastAsia" w:ascii="Times New Roman" w:hAnsi="Times New Roman" w:eastAsia="仿宋_GB2312"/>
          <w:color w:val="auto"/>
          <w:spacing w:val="-6"/>
          <w:sz w:val="32"/>
          <w:szCs w:val="32"/>
        </w:rPr>
        <w:t>缴</w:t>
      </w:r>
      <w:r>
        <w:rPr>
          <w:rFonts w:hint="eastAsia" w:ascii="Times New Roman" w:hAnsi="Times New Roman" w:eastAsia="仿宋_GB2312"/>
          <w:color w:val="auto"/>
          <w:spacing w:val="-6"/>
          <w:sz w:val="32"/>
          <w:szCs w:val="32"/>
          <w:lang w:eastAsia="zh-CN"/>
        </w:rPr>
        <w:t>费支出</w:t>
      </w:r>
      <w:r>
        <w:rPr>
          <w:rFonts w:hint="eastAsia" w:ascii="Times New Roman" w:hAnsi="Times New Roman" w:eastAsia="仿宋_GB2312"/>
          <w:color w:val="auto"/>
          <w:spacing w:val="-6"/>
          <w:sz w:val="32"/>
          <w:szCs w:val="32"/>
        </w:rPr>
        <w:t>（项）：指</w:t>
      </w:r>
      <w:r>
        <w:rPr>
          <w:rFonts w:hint="eastAsia" w:ascii="Times New Roman" w:hAnsi="Times New Roman" w:eastAsia="仿宋_GB2312"/>
          <w:color w:val="auto"/>
          <w:spacing w:val="-6"/>
          <w:sz w:val="32"/>
          <w:szCs w:val="32"/>
          <w:lang w:eastAsia="zh-CN"/>
        </w:rPr>
        <w:t>事业单位</w:t>
      </w:r>
      <w:r>
        <w:rPr>
          <w:rFonts w:hint="eastAsia" w:ascii="Times New Roman" w:hAnsi="Times New Roman" w:eastAsia="仿宋_GB2312"/>
          <w:color w:val="auto"/>
          <w:spacing w:val="-6"/>
          <w:sz w:val="32"/>
          <w:szCs w:val="32"/>
        </w:rPr>
        <w:t>用于保障职工养老保险及职业年金的支出。</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olor w:val="auto"/>
          <w:sz w:val="32"/>
          <w:szCs w:val="32"/>
        </w:rPr>
        <w:t>卫生健康</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（类）行政</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单位医疗（款）</w:t>
      </w:r>
      <w:r>
        <w:rPr>
          <w:rFonts w:hint="eastAsia" w:ascii="Times New Roman" w:hAnsi="Times New Roman" w:eastAsia="仿宋_GB2312"/>
          <w:color w:val="auto"/>
          <w:sz w:val="32"/>
          <w:szCs w:val="32"/>
          <w:lang w:eastAsia="zh-CN"/>
        </w:rPr>
        <w:t>事业单位医疗</w:t>
      </w:r>
      <w:r>
        <w:rPr>
          <w:rFonts w:hint="eastAsia" w:ascii="Times New Roman" w:hAnsi="Times New Roman" w:eastAsia="仿宋_GB2312"/>
          <w:color w:val="auto"/>
          <w:sz w:val="32"/>
          <w:szCs w:val="32"/>
        </w:rPr>
        <w:t>（项）：指</w:t>
      </w:r>
      <w:r>
        <w:rPr>
          <w:rFonts w:hint="eastAsia" w:ascii="Times New Roman" w:hAnsi="Times New Roman" w:eastAsia="仿宋_GB2312"/>
          <w:color w:val="auto"/>
          <w:sz w:val="32"/>
          <w:szCs w:val="32"/>
          <w:lang w:eastAsia="zh-CN"/>
        </w:rPr>
        <w:t>事业单位</w:t>
      </w:r>
      <w:r>
        <w:rPr>
          <w:rFonts w:hint="eastAsia" w:ascii="Times New Roman" w:hAnsi="Times New Roman" w:eastAsia="仿宋_GB2312"/>
          <w:color w:val="auto"/>
          <w:sz w:val="32"/>
          <w:szCs w:val="32"/>
        </w:rPr>
        <w:t>用于保障职工医疗保险。</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olor w:val="auto"/>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8.</w:t>
      </w:r>
      <w:r>
        <w:rPr>
          <w:rFonts w:hint="eastAsia" w:ascii="Times New Roman" w:hAnsi="Times New Roman" w:eastAsia="仿宋_GB2312"/>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snapToGrid/>
        <w:spacing w:line="590" w:lineRule="exact"/>
        <w:ind w:firstLine="66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经费：指</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adjustRightInd/>
        <w:snapToGrid/>
        <w:spacing w:line="590"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10.</w:t>
      </w:r>
      <w:r>
        <w:rPr>
          <w:rFonts w:hint="eastAsia" w:ascii="仿宋_GB2312" w:eastAsia="仿宋_GB2312"/>
          <w:color w:val="auto"/>
          <w:sz w:val="32"/>
          <w:szCs w:val="32"/>
        </w:rPr>
        <w:t>机关运行经费：为保障行政单位（包含参照公务员法管理的事业单位）运行用于购买货物和服务的各项资金。包括办公及印刷费、邮电费、差旅费、会议费。物业管理费等费用开支。</w:t>
      </w:r>
    </w:p>
    <w:p>
      <w:pPr>
        <w:jc w:val="both"/>
        <w:rPr>
          <w:rFonts w:hint="eastAsia" w:ascii="仿宋_GB2312" w:eastAsia="仿宋_GB2312"/>
          <w:color w:val="auto"/>
          <w:sz w:val="32"/>
          <w:szCs w:val="32"/>
        </w:rPr>
      </w:pPr>
      <w:r>
        <w:rPr>
          <w:rFonts w:hint="eastAsia" w:ascii="仿宋_GB2312" w:eastAsia="仿宋_GB2312"/>
          <w:color w:val="auto"/>
          <w:sz w:val="32"/>
          <w:szCs w:val="32"/>
        </w:rPr>
        <w:br w:type="page"/>
      </w:r>
    </w:p>
    <w:p>
      <w:pPr>
        <w:keepNext w:val="0"/>
        <w:keepLines w:val="0"/>
        <w:pageBreakBefore w:val="0"/>
        <w:widowControl w:val="0"/>
        <w:kinsoku/>
        <w:wordWrap/>
        <w:overflowPunct/>
        <w:topLinePunct w:val="0"/>
        <w:bidi w:val="0"/>
        <w:adjustRightInd/>
        <w:snapToGrid/>
        <w:spacing w:line="590" w:lineRule="exact"/>
        <w:jc w:val="both"/>
        <w:textAlignment w:val="auto"/>
        <w:rPr>
          <w:rFonts w:ascii="Times New Roman" w:hAnsi="Times New Roman" w:eastAsia="仿宋_GB2312"/>
          <w:color w:val="auto"/>
          <w:sz w:val="32"/>
          <w:szCs w:val="32"/>
        </w:rPr>
      </w:pPr>
      <w:r>
        <w:rPr>
          <w:rFonts w:hint="eastAsia" w:ascii="Times New Roman" w:hAnsi="Times New Roman" w:eastAsia="仿宋_GB2312"/>
          <w:color w:val="0000FF"/>
          <w:sz w:val="28"/>
          <w:szCs w:val="28"/>
        </w:rPr>
        <w:t>　</w:t>
      </w:r>
      <w:r>
        <w:rPr>
          <w:rFonts w:hint="eastAsia" w:ascii="Times New Roman" w:hAnsi="Times New Roman" w:eastAsia="仿宋_GB2312"/>
          <w:color w:val="0000FF"/>
          <w:sz w:val="28"/>
          <w:szCs w:val="28"/>
          <w:lang w:val="en-US" w:eastAsia="zh-CN"/>
        </w:rPr>
        <w:t xml:space="preserve">  </w:t>
      </w:r>
      <w:r>
        <w:rPr>
          <w:rFonts w:hint="eastAsia" w:ascii="Times New Roman" w:hAnsi="Times New Roman" w:eastAsia="仿宋_GB2312"/>
          <w:color w:val="auto"/>
          <w:sz w:val="32"/>
          <w:szCs w:val="32"/>
        </w:rPr>
        <w:t>附件：表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收支总表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收入总表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支出总表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财政拨款收支总表</w:t>
      </w:r>
    </w:p>
    <w:p>
      <w:pPr>
        <w:keepNext w:val="0"/>
        <w:keepLines w:val="0"/>
        <w:pageBreakBefore w:val="0"/>
        <w:widowControl w:val="0"/>
        <w:kinsoku/>
        <w:wordWrap/>
        <w:overflowPunct/>
        <w:topLinePunct w:val="0"/>
        <w:bidi w:val="0"/>
        <w:adjustRightInd/>
        <w:snapToGrid/>
        <w:spacing w:line="590" w:lineRule="exact"/>
        <w:ind w:firstLine="1600" w:firstLineChars="5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表</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 xml:space="preserve"> 财政拨款支出预算表</w:t>
      </w:r>
      <w:r>
        <w:rPr>
          <w:rFonts w:hint="eastAsia" w:ascii="Times New Roman" w:hAnsi="Times New Roman" w:eastAsia="仿宋_GB2312"/>
          <w:color w:val="auto"/>
          <w:sz w:val="28"/>
          <w:szCs w:val="28"/>
        </w:rPr>
        <w:t>（政府经济分类科目）</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一般公共预算支出预算表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一般公共预算基本支出预算表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一般公共预算项目支出预算表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一般公共预算</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政府性基金支出预算表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政府性基金预算</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5.</w:t>
      </w:r>
      <w:r>
        <w:rPr>
          <w:rFonts w:hint="eastAsia" w:ascii="Times New Roman" w:hAnsi="Times New Roman" w:eastAsia="仿宋_GB2312"/>
          <w:color w:val="auto"/>
          <w:sz w:val="32"/>
          <w:szCs w:val="32"/>
        </w:rPr>
        <w:t>国有资本经营预算支出预算表</w:t>
      </w:r>
    </w:p>
    <w:p>
      <w:pPr>
        <w:keepNext w:val="0"/>
        <w:keepLines w:val="0"/>
        <w:pageBreakBefore w:val="0"/>
        <w:widowControl w:val="0"/>
        <w:kinsoku/>
        <w:wordWrap/>
        <w:overflowPunct/>
        <w:topLinePunct w:val="0"/>
        <w:bidi w:val="0"/>
        <w:adjustRightInd/>
        <w:snapToGrid/>
        <w:spacing w:line="590" w:lineRule="exact"/>
        <w:ind w:firstLine="1600" w:firstLineChars="5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表</w:t>
      </w:r>
      <w:r>
        <w:rPr>
          <w:rFonts w:hint="default" w:ascii="Times New Roman" w:hAnsi="Times New Roman" w:eastAsia="仿宋_GB2312" w:cs="Times New Roman"/>
          <w:color w:val="auto"/>
          <w:sz w:val="32"/>
          <w:szCs w:val="32"/>
        </w:rPr>
        <w:t>6.</w:t>
      </w:r>
      <w:r>
        <w:rPr>
          <w:rFonts w:hint="eastAsia" w:ascii="Times New Roman" w:hAnsi="Times New Roman" w:eastAsia="仿宋_GB2312"/>
          <w:color w:val="auto"/>
          <w:sz w:val="32"/>
          <w:szCs w:val="32"/>
        </w:rPr>
        <w:t>项目绩效目标</w:t>
      </w:r>
    </w:p>
    <w:p>
      <w:pPr>
        <w:rPr>
          <w:color w:val="0000FF"/>
        </w:rPr>
      </w:pPr>
    </w:p>
    <w:sectPr>
      <w:footerReference r:id="rId5" w:type="default"/>
      <w:pgSz w:w="11906" w:h="16838"/>
      <w:pgMar w:top="1871" w:right="1531" w:bottom="1871" w:left="1531"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- 7 -</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4D93"/>
    <w:multiLevelType w:val="singleLevel"/>
    <w:tmpl w:val="A42D4D93"/>
    <w:lvl w:ilvl="0" w:tentative="0">
      <w:start w:val="1"/>
      <w:numFmt w:val="chineseCounting"/>
      <w:suff w:val="nothing"/>
      <w:lvlText w:val="（%1）"/>
      <w:lvlJc w:val="left"/>
      <w:rPr>
        <w:rFonts w:hint="eastAsia"/>
      </w:rPr>
    </w:lvl>
  </w:abstractNum>
  <w:abstractNum w:abstractNumId="1">
    <w:nsid w:val="FFFF98AB"/>
    <w:multiLevelType w:val="singleLevel"/>
    <w:tmpl w:val="FFFF98A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063A9"/>
    <w:rsid w:val="0216765B"/>
    <w:rsid w:val="07D96270"/>
    <w:rsid w:val="0A697E18"/>
    <w:rsid w:val="0D00088D"/>
    <w:rsid w:val="12916961"/>
    <w:rsid w:val="181F2569"/>
    <w:rsid w:val="19CB0C0A"/>
    <w:rsid w:val="1A056B30"/>
    <w:rsid w:val="1D9539F0"/>
    <w:rsid w:val="1E9D5C65"/>
    <w:rsid w:val="20FB1712"/>
    <w:rsid w:val="22647B88"/>
    <w:rsid w:val="234D5B24"/>
    <w:rsid w:val="235C749B"/>
    <w:rsid w:val="23CD1065"/>
    <w:rsid w:val="256C6518"/>
    <w:rsid w:val="278463E8"/>
    <w:rsid w:val="29F94DDA"/>
    <w:rsid w:val="2A393EDB"/>
    <w:rsid w:val="2C24000D"/>
    <w:rsid w:val="2ED5396E"/>
    <w:rsid w:val="2F0C4BBB"/>
    <w:rsid w:val="30805AF9"/>
    <w:rsid w:val="32320C7F"/>
    <w:rsid w:val="33AE710A"/>
    <w:rsid w:val="392B2B1C"/>
    <w:rsid w:val="3B5172E6"/>
    <w:rsid w:val="3D796198"/>
    <w:rsid w:val="3DFA4905"/>
    <w:rsid w:val="40287E36"/>
    <w:rsid w:val="41254115"/>
    <w:rsid w:val="436063A9"/>
    <w:rsid w:val="465C517B"/>
    <w:rsid w:val="466E1D96"/>
    <w:rsid w:val="4A8829E6"/>
    <w:rsid w:val="4BF44C90"/>
    <w:rsid w:val="529B6CA9"/>
    <w:rsid w:val="535F629B"/>
    <w:rsid w:val="53F070CA"/>
    <w:rsid w:val="56DD5CFC"/>
    <w:rsid w:val="5AD63AE5"/>
    <w:rsid w:val="5D524A4D"/>
    <w:rsid w:val="62847009"/>
    <w:rsid w:val="64FE472D"/>
    <w:rsid w:val="660245A9"/>
    <w:rsid w:val="67CA0E7B"/>
    <w:rsid w:val="685E3D2F"/>
    <w:rsid w:val="6C7C7ABA"/>
    <w:rsid w:val="6CA35CDF"/>
    <w:rsid w:val="710F6B27"/>
    <w:rsid w:val="7357113B"/>
    <w:rsid w:val="74DE6344"/>
    <w:rsid w:val="76123DA3"/>
    <w:rsid w:val="77AC6B0D"/>
    <w:rsid w:val="795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ind w:firstLine="880" w:firstLineChars="200"/>
      <w:jc w:val="left"/>
      <w:outlineLvl w:val="0"/>
    </w:pPr>
    <w:rPr>
      <w:rFonts w:ascii="Times New Roman" w:hAnsi="Times New Roman" w:eastAsia="CESI黑体-GB2312"/>
      <w:b/>
      <w:kern w:val="44"/>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szCs w:val="21"/>
    </w:rPr>
  </w:style>
  <w:style w:type="paragraph" w:styleId="4">
    <w:name w:val="Body Text"/>
    <w:basedOn w:val="1"/>
    <w:qFormat/>
    <w:uiPriority w:val="0"/>
    <w:pPr>
      <w:spacing w:before="93" w:beforeLines="30"/>
    </w:pPr>
    <w:rPr>
      <w:rFonts w:ascii="仿宋_GB2312" w:eastAsia="仿宋_GB2312"/>
      <w:sz w:val="3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jc w:val="left"/>
    </w:pPr>
    <w:rPr>
      <w:rFonts w:ascii="等线" w:eastAsia="等线"/>
      <w:b/>
      <w:bCs/>
      <w:i/>
      <w:iCs/>
      <w:sz w:val="24"/>
    </w:rPr>
  </w:style>
  <w:style w:type="paragraph" w:styleId="9">
    <w:name w:val="table of figures"/>
    <w:basedOn w:val="1"/>
    <w:next w:val="1"/>
    <w:qFormat/>
    <w:uiPriority w:val="0"/>
    <w:pPr>
      <w:ind w:left="200" w:leftChars="200" w:hanging="200" w:hangingChars="200"/>
    </w:pPr>
    <w:rPr>
      <w:rFonts w:eastAsia="仿宋_GB2312"/>
      <w:sz w:val="30"/>
    </w:rPr>
  </w:style>
  <w:style w:type="paragraph" w:styleId="10">
    <w:name w:val="Body Text First Indent 2"/>
    <w:basedOn w:val="5"/>
    <w:qFormat/>
    <w:uiPriority w:val="99"/>
    <w:pPr>
      <w:ind w:firstLine="420" w:firstLineChars="200"/>
    </w:pPr>
  </w:style>
  <w:style w:type="character" w:styleId="13">
    <w:name w:val="page number"/>
    <w:basedOn w:val="12"/>
    <w:qFormat/>
    <w:uiPriority w:val="0"/>
  </w:style>
  <w:style w:type="character" w:styleId="14">
    <w:name w:val="Hyperlink"/>
    <w:unhideWhenUsed/>
    <w:qFormat/>
    <w:uiPriority w:val="99"/>
    <w:rPr>
      <w:color w:val="0000FF"/>
      <w:u w:val="single"/>
    </w:rPr>
  </w:style>
  <w:style w:type="character" w:customStyle="1" w:styleId="15">
    <w:name w:val="NormalCharacter"/>
    <w:qFormat/>
    <w:uiPriority w:val="0"/>
  </w:style>
  <w:style w:type="character" w:customStyle="1" w:styleId="16">
    <w:name w:val="默认段落字体1"/>
    <w:qFormat/>
    <w:uiPriority w:val="0"/>
  </w:style>
  <w:style w:type="character" w:customStyle="1" w:styleId="17">
    <w:name w:val="a X3 Charact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2024-02-28T07:18:00Z</dcterms:created>
  <dc:creator>Administrator</dc:creator>
  <cp:lastModifiedBy>Administrator</cp:lastModifiedBy>
  <dcterms:modified xsi:type="dcterms:W3CDTF">2024-03-19T06:07:22Z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3E54F5FF6AE74302BB84B754B412C0CF</vt:lpwstr>
  </property>
</Properties>
</file>