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sz w:val="44"/>
          <w:szCs w:val="44"/>
        </w:rPr>
      </w:pPr>
      <w:bookmarkStart w:id="23" w:name="_GoBack"/>
      <w:bookmarkEnd w:id="23"/>
      <w:r>
        <w:rPr>
          <w:rFonts w:hint="eastAsia" w:ascii="方正小标宋简体" w:hAnsi="方正小标宋简体" w:eastAsia="方正小标宋简体" w:cs="方正小标宋简体"/>
          <w:b w:val="0"/>
          <w:bCs/>
          <w:sz w:val="44"/>
          <w:szCs w:val="44"/>
          <w:lang w:eastAsia="zh-CN"/>
        </w:rPr>
        <w:t>中共自贡市委政法委员会</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年部门预算编制的说明</w:t>
      </w:r>
    </w:p>
    <w:p>
      <w:pPr>
        <w:pStyle w:val="1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pPr>
        <w:widowControl/>
        <w:spacing w:line="592" w:lineRule="exact"/>
        <w:jc w:val="center"/>
        <w:rPr>
          <w:rFonts w:hint="eastAsia" w:ascii="Times New Roman" w:hAnsi="Times New Roman" w:eastAsia="黑体" w:cs="Times New Roman"/>
          <w:color w:val="000000"/>
          <w:sz w:val="48"/>
          <w:szCs w:val="48"/>
        </w:rPr>
      </w:pPr>
      <w:bookmarkStart w:id="0" w:name="_Hlk72430755"/>
      <w:r>
        <w:rPr>
          <w:rFonts w:hint="eastAsia" w:ascii="Times New Roman" w:hAnsi="Times New Roman" w:eastAsia="黑体" w:cs="Times New Roman"/>
          <w:color w:val="000000"/>
          <w:sz w:val="48"/>
          <w:szCs w:val="48"/>
        </w:rPr>
        <w:t>目录</w:t>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sz w:val="28"/>
          <w:szCs w:val="28"/>
        </w:rPr>
      </w:pPr>
      <w:r>
        <w:rPr>
          <w:rFonts w:hint="eastAsia" w:ascii="仿宋_GB2312" w:hAnsi="仿宋_GB2312" w:eastAsia="仿宋_GB2312" w:cs="仿宋_GB2312"/>
          <w:b w:val="0"/>
          <w:bCs w:val="0"/>
          <w:i w:val="0"/>
          <w:iCs w:val="0"/>
          <w:sz w:val="28"/>
          <w:szCs w:val="28"/>
        </w:rPr>
        <w:fldChar w:fldCharType="begin"/>
      </w:r>
      <w:r>
        <w:rPr>
          <w:rFonts w:hint="eastAsia" w:ascii="仿宋_GB2312" w:hAnsi="仿宋_GB2312" w:eastAsia="仿宋_GB2312" w:cs="仿宋_GB2312"/>
          <w:b w:val="0"/>
          <w:bCs w:val="0"/>
          <w:i w:val="0"/>
          <w:iCs w:val="0"/>
          <w:sz w:val="28"/>
          <w:szCs w:val="28"/>
        </w:rPr>
        <w:instrText xml:space="preserve"> TOC \o "1-3" \h \z \u </w:instrText>
      </w:r>
      <w:r>
        <w:rPr>
          <w:rFonts w:hint="eastAsia" w:ascii="仿宋_GB2312" w:hAnsi="仿宋_GB2312" w:eastAsia="仿宋_GB2312" w:cs="仿宋_GB2312"/>
          <w:b w:val="0"/>
          <w:bCs w:val="0"/>
          <w:i w:val="0"/>
          <w:iCs w:val="0"/>
          <w:sz w:val="28"/>
          <w:szCs w:val="28"/>
        </w:rPr>
        <w:fldChar w:fldCharType="separate"/>
      </w:r>
      <w:r>
        <w:rPr>
          <w:rStyle w:val="15"/>
          <w:rFonts w:hint="eastAsia" w:ascii="仿宋_GB2312" w:hAnsi="仿宋_GB2312" w:eastAsia="仿宋_GB2312" w:cs="仿宋_GB2312"/>
          <w:b w:val="0"/>
          <w:bCs w:val="0"/>
          <w:i w:val="0"/>
          <w:iCs w:val="0"/>
          <w:sz w:val="28"/>
          <w:szCs w:val="28"/>
        </w:rPr>
        <w:fldChar w:fldCharType="begin"/>
      </w:r>
      <w:r>
        <w:rPr>
          <w:rStyle w:val="15"/>
          <w:rFonts w:hint="eastAsia" w:ascii="仿宋_GB2312" w:hAnsi="仿宋_GB2312" w:eastAsia="仿宋_GB2312" w:cs="仿宋_GB2312"/>
          <w:b w:val="0"/>
          <w:bCs w:val="0"/>
          <w:i w:val="0"/>
          <w:iCs w:val="0"/>
          <w:sz w:val="28"/>
          <w:szCs w:val="28"/>
        </w:rPr>
        <w:instrText xml:space="preserve"> </w:instrText>
      </w:r>
      <w:r>
        <w:rPr>
          <w:rFonts w:hint="eastAsia" w:ascii="仿宋_GB2312" w:hAnsi="仿宋_GB2312" w:eastAsia="仿宋_GB2312" w:cs="仿宋_GB2312"/>
          <w:b w:val="0"/>
          <w:bCs w:val="0"/>
          <w:i w:val="0"/>
          <w:iCs w:val="0"/>
          <w:sz w:val="28"/>
          <w:szCs w:val="28"/>
        </w:rPr>
        <w:instrText xml:space="preserve">HYPERLINK \l "_Toc72430477"</w:instrText>
      </w:r>
      <w:r>
        <w:rPr>
          <w:rStyle w:val="15"/>
          <w:rFonts w:hint="eastAsia" w:ascii="仿宋_GB2312" w:hAnsi="仿宋_GB2312" w:eastAsia="仿宋_GB2312" w:cs="仿宋_GB2312"/>
          <w:b w:val="0"/>
          <w:bCs w:val="0"/>
          <w:i w:val="0"/>
          <w:iCs w:val="0"/>
          <w:sz w:val="28"/>
          <w:szCs w:val="28"/>
        </w:rPr>
        <w:instrText xml:space="preserve"> </w:instrText>
      </w:r>
      <w:r>
        <w:rPr>
          <w:rStyle w:val="15"/>
          <w:rFonts w:hint="eastAsia" w:ascii="仿宋_GB2312" w:hAnsi="仿宋_GB2312" w:eastAsia="仿宋_GB2312" w:cs="仿宋_GB2312"/>
          <w:b w:val="0"/>
          <w:bCs w:val="0"/>
          <w:i w:val="0"/>
          <w:iCs w:val="0"/>
          <w:sz w:val="28"/>
          <w:szCs w:val="28"/>
        </w:rPr>
        <w:fldChar w:fldCharType="separate"/>
      </w:r>
      <w:r>
        <w:rPr>
          <w:rStyle w:val="15"/>
          <w:rFonts w:hint="eastAsia" w:ascii="仿宋_GB2312" w:hAnsi="仿宋_GB2312" w:eastAsia="仿宋_GB2312" w:cs="仿宋_GB2312"/>
          <w:b w:val="0"/>
          <w:bCs w:val="0"/>
          <w:i w:val="0"/>
          <w:iCs w:val="0"/>
          <w:sz w:val="28"/>
          <w:szCs w:val="28"/>
        </w:rPr>
        <w:t>一、基本职能及主要工作</w:t>
      </w:r>
      <w:r>
        <w:rPr>
          <w:rFonts w:hint="eastAsia" w:ascii="仿宋_GB2312" w:hAnsi="仿宋_GB2312" w:eastAsia="仿宋_GB2312" w:cs="仿宋_GB2312"/>
          <w:b w:val="0"/>
          <w:bCs w:val="0"/>
          <w:i w:val="0"/>
          <w:i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1</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i w:val="0"/>
          <w:iCs w:val="0"/>
          <w:sz w:val="28"/>
          <w:szCs w:val="28"/>
        </w:rPr>
        <w:fldChar w:fldCharType="end"/>
      </w:r>
    </w:p>
    <w:p>
      <w:pPr>
        <w:pStyle w:val="11"/>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sz w:val="28"/>
          <w:szCs w:val="28"/>
        </w:rPr>
      </w:pPr>
      <w:r>
        <w:rPr>
          <w:rStyle w:val="15"/>
          <w:rFonts w:hint="eastAsia" w:ascii="仿宋_GB2312" w:hAnsi="仿宋_GB2312" w:eastAsia="仿宋_GB2312" w:cs="仿宋_GB2312"/>
          <w:b w:val="0"/>
          <w:bCs w:val="0"/>
          <w:sz w:val="28"/>
          <w:szCs w:val="28"/>
        </w:rPr>
        <w:fldChar w:fldCharType="begin"/>
      </w:r>
      <w:r>
        <w:rPr>
          <w:rStyle w:val="15"/>
          <w:rFonts w:hint="eastAsia" w:ascii="仿宋_GB2312" w:hAnsi="仿宋_GB2312" w:eastAsia="仿宋_GB2312" w:cs="仿宋_GB2312"/>
          <w:b w:val="0"/>
          <w:bCs w:val="0"/>
          <w:sz w:val="28"/>
          <w:szCs w:val="28"/>
        </w:rPr>
        <w:instrText xml:space="preserve"> </w:instrText>
      </w:r>
      <w:r>
        <w:rPr>
          <w:rFonts w:hint="eastAsia" w:ascii="仿宋_GB2312" w:hAnsi="仿宋_GB2312" w:eastAsia="仿宋_GB2312" w:cs="仿宋_GB2312"/>
          <w:b w:val="0"/>
          <w:bCs w:val="0"/>
          <w:sz w:val="28"/>
          <w:szCs w:val="28"/>
        </w:rPr>
        <w:instrText xml:space="preserve">HYPERLINK \l "_Toc72430478"</w:instrText>
      </w:r>
      <w:r>
        <w:rPr>
          <w:rStyle w:val="15"/>
          <w:rFonts w:hint="eastAsia" w:ascii="仿宋_GB2312" w:hAnsi="仿宋_GB2312" w:eastAsia="仿宋_GB2312" w:cs="仿宋_GB2312"/>
          <w:b w:val="0"/>
          <w:bCs w:val="0"/>
          <w:sz w:val="28"/>
          <w:szCs w:val="28"/>
        </w:rPr>
        <w:instrText xml:space="preserve"> </w:instrText>
      </w:r>
      <w:r>
        <w:rPr>
          <w:rStyle w:val="15"/>
          <w:rFonts w:hint="eastAsia" w:ascii="仿宋_GB2312" w:hAnsi="仿宋_GB2312" w:eastAsia="仿宋_GB2312" w:cs="仿宋_GB2312"/>
          <w:b w:val="0"/>
          <w:bCs w:val="0"/>
          <w:sz w:val="28"/>
          <w:szCs w:val="28"/>
        </w:rPr>
        <w:fldChar w:fldCharType="separate"/>
      </w:r>
      <w:r>
        <w:rPr>
          <w:rStyle w:val="15"/>
          <w:rFonts w:hint="eastAsia" w:ascii="仿宋_GB2312" w:hAnsi="仿宋_GB2312" w:eastAsia="仿宋_GB2312" w:cs="仿宋_GB2312"/>
          <w:b w:val="0"/>
          <w:bCs w:val="0"/>
          <w:sz w:val="28"/>
          <w:szCs w:val="28"/>
        </w:rPr>
        <w:t>（一）</w:t>
      </w:r>
      <w:r>
        <w:rPr>
          <w:rFonts w:hint="eastAsia" w:ascii="仿宋_GB2312" w:hAnsi="仿宋_GB2312" w:eastAsia="仿宋_GB2312" w:cs="仿宋_GB2312"/>
          <w:b w:val="0"/>
          <w:bCs w:val="0"/>
          <w:color w:val="auto"/>
          <w:sz w:val="28"/>
          <w:szCs w:val="28"/>
          <w:lang w:eastAsia="zh-CN"/>
        </w:rPr>
        <w:t>中共自贡市委政法委员会</w:t>
      </w:r>
      <w:r>
        <w:rPr>
          <w:rStyle w:val="15"/>
          <w:rFonts w:hint="eastAsia" w:ascii="仿宋_GB2312" w:hAnsi="仿宋_GB2312" w:eastAsia="仿宋_GB2312" w:cs="仿宋_GB2312"/>
          <w:b w:val="0"/>
          <w:bCs w:val="0"/>
          <w:sz w:val="28"/>
          <w:szCs w:val="28"/>
          <w:lang w:val="en-US" w:eastAsia="zh-CN"/>
        </w:rPr>
        <w:t>部门</w:t>
      </w:r>
      <w:r>
        <w:rPr>
          <w:rStyle w:val="15"/>
          <w:rFonts w:hint="eastAsia" w:ascii="仿宋_GB2312" w:hAnsi="仿宋_GB2312" w:eastAsia="仿宋_GB2312" w:cs="仿宋_GB2312"/>
          <w:b w:val="0"/>
          <w:bCs w:val="0"/>
          <w:sz w:val="28"/>
          <w:szCs w:val="28"/>
        </w:rPr>
        <w:t>职能简介</w:t>
      </w:r>
      <w:r>
        <w:rPr>
          <w:rFonts w:hint="eastAsia" w:ascii="仿宋_GB2312" w:hAnsi="仿宋_GB2312" w:eastAsia="仿宋_GB2312" w:cs="仿宋_GB2312"/>
          <w:b w:val="0"/>
          <w:b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1</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sz w:val="28"/>
          <w:szCs w:val="28"/>
        </w:rPr>
        <w:fldChar w:fldCharType="end"/>
      </w:r>
    </w:p>
    <w:p>
      <w:pPr>
        <w:pStyle w:val="11"/>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sz w:val="28"/>
          <w:szCs w:val="28"/>
        </w:rPr>
      </w:pPr>
      <w:r>
        <w:rPr>
          <w:rStyle w:val="15"/>
          <w:rFonts w:hint="eastAsia" w:ascii="仿宋_GB2312" w:hAnsi="仿宋_GB2312" w:eastAsia="仿宋_GB2312" w:cs="仿宋_GB2312"/>
          <w:b w:val="0"/>
          <w:bCs w:val="0"/>
          <w:sz w:val="28"/>
          <w:szCs w:val="28"/>
        </w:rPr>
        <w:fldChar w:fldCharType="begin"/>
      </w:r>
      <w:r>
        <w:rPr>
          <w:rStyle w:val="15"/>
          <w:rFonts w:hint="eastAsia" w:ascii="仿宋_GB2312" w:hAnsi="仿宋_GB2312" w:eastAsia="仿宋_GB2312" w:cs="仿宋_GB2312"/>
          <w:b w:val="0"/>
          <w:bCs w:val="0"/>
          <w:sz w:val="28"/>
          <w:szCs w:val="28"/>
        </w:rPr>
        <w:instrText xml:space="preserve"> </w:instrText>
      </w:r>
      <w:r>
        <w:rPr>
          <w:rFonts w:hint="eastAsia" w:ascii="仿宋_GB2312" w:hAnsi="仿宋_GB2312" w:eastAsia="仿宋_GB2312" w:cs="仿宋_GB2312"/>
          <w:b w:val="0"/>
          <w:bCs w:val="0"/>
          <w:sz w:val="28"/>
          <w:szCs w:val="28"/>
        </w:rPr>
        <w:instrText xml:space="preserve">HYPERLINK \l "_Toc72430479"</w:instrText>
      </w:r>
      <w:r>
        <w:rPr>
          <w:rStyle w:val="15"/>
          <w:rFonts w:hint="eastAsia" w:ascii="仿宋_GB2312" w:hAnsi="仿宋_GB2312" w:eastAsia="仿宋_GB2312" w:cs="仿宋_GB2312"/>
          <w:b w:val="0"/>
          <w:bCs w:val="0"/>
          <w:sz w:val="28"/>
          <w:szCs w:val="28"/>
        </w:rPr>
        <w:instrText xml:space="preserve"> </w:instrText>
      </w:r>
      <w:r>
        <w:rPr>
          <w:rStyle w:val="15"/>
          <w:rFonts w:hint="eastAsia" w:ascii="仿宋_GB2312" w:hAnsi="仿宋_GB2312" w:eastAsia="仿宋_GB2312" w:cs="仿宋_GB2312"/>
          <w:b w:val="0"/>
          <w:bCs w:val="0"/>
          <w:sz w:val="28"/>
          <w:szCs w:val="28"/>
        </w:rPr>
        <w:fldChar w:fldCharType="separate"/>
      </w:r>
      <w:r>
        <w:rPr>
          <w:rStyle w:val="15"/>
          <w:rFonts w:hint="eastAsia" w:ascii="仿宋_GB2312" w:hAnsi="仿宋_GB2312" w:eastAsia="仿宋_GB2312" w:cs="仿宋_GB2312"/>
          <w:b w:val="0"/>
          <w:bCs w:val="0"/>
          <w:sz w:val="28"/>
          <w:szCs w:val="28"/>
        </w:rPr>
        <w:t>（二）</w:t>
      </w:r>
      <w:r>
        <w:rPr>
          <w:rFonts w:hint="eastAsia" w:ascii="仿宋_GB2312" w:hAnsi="仿宋_GB2312" w:eastAsia="仿宋_GB2312" w:cs="仿宋_GB2312"/>
          <w:b w:val="0"/>
          <w:bCs w:val="0"/>
          <w:color w:val="auto"/>
          <w:sz w:val="28"/>
          <w:szCs w:val="28"/>
          <w:lang w:eastAsia="zh-CN"/>
        </w:rPr>
        <w:t>中共自贡市委政法委员会</w:t>
      </w:r>
      <w:r>
        <w:rPr>
          <w:rStyle w:val="15"/>
          <w:rFonts w:hint="eastAsia" w:ascii="仿宋_GB2312" w:hAnsi="仿宋_GB2312" w:eastAsia="仿宋_GB2312" w:cs="仿宋_GB2312"/>
          <w:b w:val="0"/>
          <w:bCs w:val="0"/>
          <w:sz w:val="28"/>
          <w:szCs w:val="28"/>
          <w:lang w:val="en-US" w:eastAsia="zh-CN"/>
        </w:rPr>
        <w:t>部门</w:t>
      </w:r>
      <w:r>
        <w:rPr>
          <w:rStyle w:val="15"/>
          <w:rFonts w:hint="eastAsia" w:ascii="仿宋_GB2312" w:hAnsi="仿宋_GB2312" w:eastAsia="仿宋_GB2312" w:cs="仿宋_GB2312"/>
          <w:b w:val="0"/>
          <w:bCs w:val="0"/>
          <w:sz w:val="28"/>
          <w:szCs w:val="28"/>
        </w:rPr>
        <w:t>202</w:t>
      </w:r>
      <w:r>
        <w:rPr>
          <w:rStyle w:val="15"/>
          <w:rFonts w:hint="eastAsia" w:ascii="仿宋_GB2312" w:hAnsi="仿宋_GB2312" w:eastAsia="仿宋_GB2312" w:cs="仿宋_GB2312"/>
          <w:b w:val="0"/>
          <w:bCs w:val="0"/>
          <w:sz w:val="28"/>
          <w:szCs w:val="28"/>
          <w:lang w:val="en-US" w:eastAsia="zh-CN"/>
        </w:rPr>
        <w:t>4</w:t>
      </w:r>
      <w:r>
        <w:rPr>
          <w:rStyle w:val="15"/>
          <w:rFonts w:hint="eastAsia" w:ascii="仿宋_GB2312" w:hAnsi="仿宋_GB2312" w:eastAsia="仿宋_GB2312" w:cs="仿宋_GB2312"/>
          <w:b w:val="0"/>
          <w:bCs w:val="0"/>
          <w:sz w:val="28"/>
          <w:szCs w:val="28"/>
        </w:rPr>
        <w:t>年重点工作</w:t>
      </w:r>
      <w:r>
        <w:rPr>
          <w:rFonts w:hint="eastAsia" w:ascii="仿宋_GB2312" w:hAnsi="仿宋_GB2312" w:eastAsia="仿宋_GB2312" w:cs="仿宋_GB2312"/>
          <w:b w:val="0"/>
          <w:b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2</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sz w:val="28"/>
          <w:szCs w:val="28"/>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sz w:val="28"/>
          <w:szCs w:val="28"/>
        </w:rPr>
      </w:pPr>
      <w:r>
        <w:rPr>
          <w:rStyle w:val="15"/>
          <w:rFonts w:hint="eastAsia" w:ascii="仿宋_GB2312" w:hAnsi="仿宋_GB2312" w:eastAsia="仿宋_GB2312" w:cs="仿宋_GB2312"/>
          <w:b w:val="0"/>
          <w:bCs w:val="0"/>
          <w:i w:val="0"/>
          <w:iCs w:val="0"/>
          <w:sz w:val="28"/>
          <w:szCs w:val="28"/>
        </w:rPr>
        <w:fldChar w:fldCharType="begin"/>
      </w:r>
      <w:r>
        <w:rPr>
          <w:rStyle w:val="15"/>
          <w:rFonts w:hint="eastAsia" w:ascii="仿宋_GB2312" w:hAnsi="仿宋_GB2312" w:eastAsia="仿宋_GB2312" w:cs="仿宋_GB2312"/>
          <w:b w:val="0"/>
          <w:bCs w:val="0"/>
          <w:i w:val="0"/>
          <w:iCs w:val="0"/>
          <w:sz w:val="28"/>
          <w:szCs w:val="28"/>
        </w:rPr>
        <w:instrText xml:space="preserve"> </w:instrText>
      </w:r>
      <w:r>
        <w:rPr>
          <w:rFonts w:hint="eastAsia" w:ascii="仿宋_GB2312" w:hAnsi="仿宋_GB2312" w:eastAsia="仿宋_GB2312" w:cs="仿宋_GB2312"/>
          <w:b w:val="0"/>
          <w:bCs w:val="0"/>
          <w:i w:val="0"/>
          <w:iCs w:val="0"/>
          <w:sz w:val="28"/>
          <w:szCs w:val="28"/>
        </w:rPr>
        <w:instrText xml:space="preserve">HYPERLINK \l "_Toc72430480"</w:instrText>
      </w:r>
      <w:r>
        <w:rPr>
          <w:rStyle w:val="15"/>
          <w:rFonts w:hint="eastAsia" w:ascii="仿宋_GB2312" w:hAnsi="仿宋_GB2312" w:eastAsia="仿宋_GB2312" w:cs="仿宋_GB2312"/>
          <w:b w:val="0"/>
          <w:bCs w:val="0"/>
          <w:i w:val="0"/>
          <w:iCs w:val="0"/>
          <w:sz w:val="28"/>
          <w:szCs w:val="28"/>
        </w:rPr>
        <w:instrText xml:space="preserve"> </w:instrText>
      </w:r>
      <w:r>
        <w:rPr>
          <w:rStyle w:val="15"/>
          <w:rFonts w:hint="eastAsia" w:ascii="仿宋_GB2312" w:hAnsi="仿宋_GB2312" w:eastAsia="仿宋_GB2312" w:cs="仿宋_GB2312"/>
          <w:b w:val="0"/>
          <w:bCs w:val="0"/>
          <w:i w:val="0"/>
          <w:iCs w:val="0"/>
          <w:sz w:val="28"/>
          <w:szCs w:val="28"/>
        </w:rPr>
        <w:fldChar w:fldCharType="separate"/>
      </w:r>
      <w:r>
        <w:rPr>
          <w:rStyle w:val="15"/>
          <w:rFonts w:hint="eastAsia" w:ascii="仿宋_GB2312" w:hAnsi="仿宋_GB2312" w:eastAsia="仿宋_GB2312" w:cs="仿宋_GB2312"/>
          <w:b w:val="0"/>
          <w:bCs w:val="0"/>
          <w:i w:val="0"/>
          <w:iCs w:val="0"/>
          <w:sz w:val="28"/>
          <w:szCs w:val="28"/>
        </w:rPr>
        <w:t>二、部门概况</w:t>
      </w:r>
      <w:r>
        <w:rPr>
          <w:rFonts w:hint="eastAsia" w:ascii="仿宋_GB2312" w:hAnsi="仿宋_GB2312" w:eastAsia="仿宋_GB2312" w:cs="仿宋_GB2312"/>
          <w:b w:val="0"/>
          <w:bCs w:val="0"/>
          <w:i w:val="0"/>
          <w:i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4</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i w:val="0"/>
          <w:iCs w:val="0"/>
          <w:sz w:val="28"/>
          <w:szCs w:val="28"/>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sz w:val="28"/>
          <w:szCs w:val="28"/>
        </w:rPr>
      </w:pPr>
      <w:r>
        <w:rPr>
          <w:rStyle w:val="15"/>
          <w:rFonts w:hint="eastAsia" w:ascii="仿宋_GB2312" w:hAnsi="仿宋_GB2312" w:eastAsia="仿宋_GB2312" w:cs="仿宋_GB2312"/>
          <w:b w:val="0"/>
          <w:bCs w:val="0"/>
          <w:i w:val="0"/>
          <w:iCs w:val="0"/>
          <w:sz w:val="28"/>
          <w:szCs w:val="28"/>
        </w:rPr>
        <w:fldChar w:fldCharType="begin"/>
      </w:r>
      <w:r>
        <w:rPr>
          <w:rStyle w:val="15"/>
          <w:rFonts w:hint="eastAsia" w:ascii="仿宋_GB2312" w:hAnsi="仿宋_GB2312" w:eastAsia="仿宋_GB2312" w:cs="仿宋_GB2312"/>
          <w:b w:val="0"/>
          <w:bCs w:val="0"/>
          <w:i w:val="0"/>
          <w:iCs w:val="0"/>
          <w:sz w:val="28"/>
          <w:szCs w:val="28"/>
        </w:rPr>
        <w:instrText xml:space="preserve"> </w:instrText>
      </w:r>
      <w:r>
        <w:rPr>
          <w:rFonts w:hint="eastAsia" w:ascii="仿宋_GB2312" w:hAnsi="仿宋_GB2312" w:eastAsia="仿宋_GB2312" w:cs="仿宋_GB2312"/>
          <w:b w:val="0"/>
          <w:bCs w:val="0"/>
          <w:i w:val="0"/>
          <w:iCs w:val="0"/>
          <w:sz w:val="28"/>
          <w:szCs w:val="28"/>
        </w:rPr>
        <w:instrText xml:space="preserve">HYPERLINK \l "_Toc72430481"</w:instrText>
      </w:r>
      <w:r>
        <w:rPr>
          <w:rStyle w:val="15"/>
          <w:rFonts w:hint="eastAsia" w:ascii="仿宋_GB2312" w:hAnsi="仿宋_GB2312" w:eastAsia="仿宋_GB2312" w:cs="仿宋_GB2312"/>
          <w:b w:val="0"/>
          <w:bCs w:val="0"/>
          <w:i w:val="0"/>
          <w:iCs w:val="0"/>
          <w:sz w:val="28"/>
          <w:szCs w:val="28"/>
        </w:rPr>
        <w:instrText xml:space="preserve"> </w:instrText>
      </w:r>
      <w:r>
        <w:rPr>
          <w:rStyle w:val="15"/>
          <w:rFonts w:hint="eastAsia" w:ascii="仿宋_GB2312" w:hAnsi="仿宋_GB2312" w:eastAsia="仿宋_GB2312" w:cs="仿宋_GB2312"/>
          <w:b w:val="0"/>
          <w:bCs w:val="0"/>
          <w:i w:val="0"/>
          <w:iCs w:val="0"/>
          <w:sz w:val="28"/>
          <w:szCs w:val="28"/>
        </w:rPr>
        <w:fldChar w:fldCharType="separate"/>
      </w:r>
      <w:r>
        <w:rPr>
          <w:rStyle w:val="15"/>
          <w:rFonts w:hint="eastAsia" w:ascii="仿宋_GB2312" w:hAnsi="仿宋_GB2312" w:eastAsia="仿宋_GB2312" w:cs="仿宋_GB2312"/>
          <w:b w:val="0"/>
          <w:bCs w:val="0"/>
          <w:i w:val="0"/>
          <w:iCs w:val="0"/>
          <w:sz w:val="28"/>
          <w:szCs w:val="28"/>
        </w:rPr>
        <w:t>三、收支预算情况说明</w:t>
      </w:r>
      <w:r>
        <w:rPr>
          <w:rFonts w:hint="eastAsia" w:ascii="仿宋_GB2312" w:hAnsi="仿宋_GB2312" w:eastAsia="仿宋_GB2312" w:cs="仿宋_GB2312"/>
          <w:b w:val="0"/>
          <w:bCs w:val="0"/>
          <w:i w:val="0"/>
          <w:i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4</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i w:val="0"/>
          <w:iCs w:val="0"/>
          <w:sz w:val="28"/>
          <w:szCs w:val="28"/>
        </w:rPr>
        <w:fldChar w:fldCharType="end"/>
      </w:r>
    </w:p>
    <w:p>
      <w:pPr>
        <w:pStyle w:val="11"/>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sz w:val="28"/>
          <w:szCs w:val="28"/>
        </w:rPr>
      </w:pPr>
      <w:r>
        <w:rPr>
          <w:rStyle w:val="15"/>
          <w:rFonts w:hint="eastAsia" w:ascii="仿宋_GB2312" w:hAnsi="仿宋_GB2312" w:eastAsia="仿宋_GB2312" w:cs="仿宋_GB2312"/>
          <w:b w:val="0"/>
          <w:bCs w:val="0"/>
          <w:sz w:val="28"/>
          <w:szCs w:val="28"/>
        </w:rPr>
        <w:fldChar w:fldCharType="begin"/>
      </w:r>
      <w:r>
        <w:rPr>
          <w:rStyle w:val="15"/>
          <w:rFonts w:hint="eastAsia" w:ascii="仿宋_GB2312" w:hAnsi="仿宋_GB2312" w:eastAsia="仿宋_GB2312" w:cs="仿宋_GB2312"/>
          <w:b w:val="0"/>
          <w:bCs w:val="0"/>
          <w:sz w:val="28"/>
          <w:szCs w:val="28"/>
        </w:rPr>
        <w:instrText xml:space="preserve"> </w:instrText>
      </w:r>
      <w:r>
        <w:rPr>
          <w:rFonts w:hint="eastAsia" w:ascii="仿宋_GB2312" w:hAnsi="仿宋_GB2312" w:eastAsia="仿宋_GB2312" w:cs="仿宋_GB2312"/>
          <w:b w:val="0"/>
          <w:bCs w:val="0"/>
          <w:sz w:val="28"/>
          <w:szCs w:val="28"/>
        </w:rPr>
        <w:instrText xml:space="preserve">HYPERLINK \l "_Toc72430482"</w:instrText>
      </w:r>
      <w:r>
        <w:rPr>
          <w:rStyle w:val="15"/>
          <w:rFonts w:hint="eastAsia" w:ascii="仿宋_GB2312" w:hAnsi="仿宋_GB2312" w:eastAsia="仿宋_GB2312" w:cs="仿宋_GB2312"/>
          <w:b w:val="0"/>
          <w:bCs w:val="0"/>
          <w:sz w:val="28"/>
          <w:szCs w:val="28"/>
        </w:rPr>
        <w:instrText xml:space="preserve"> </w:instrText>
      </w:r>
      <w:r>
        <w:rPr>
          <w:rStyle w:val="15"/>
          <w:rFonts w:hint="eastAsia" w:ascii="仿宋_GB2312" w:hAnsi="仿宋_GB2312" w:eastAsia="仿宋_GB2312" w:cs="仿宋_GB2312"/>
          <w:b w:val="0"/>
          <w:bCs w:val="0"/>
          <w:sz w:val="28"/>
          <w:szCs w:val="28"/>
        </w:rPr>
        <w:fldChar w:fldCharType="separate"/>
      </w:r>
      <w:r>
        <w:rPr>
          <w:rStyle w:val="15"/>
          <w:rFonts w:hint="eastAsia" w:ascii="仿宋_GB2312" w:hAnsi="仿宋_GB2312" w:eastAsia="仿宋_GB2312" w:cs="仿宋_GB2312"/>
          <w:b w:val="0"/>
          <w:bCs w:val="0"/>
          <w:sz w:val="28"/>
          <w:szCs w:val="28"/>
        </w:rPr>
        <w:t>（一）收入预算情况</w:t>
      </w:r>
      <w:r>
        <w:rPr>
          <w:rFonts w:hint="eastAsia" w:ascii="仿宋_GB2312" w:hAnsi="仿宋_GB2312" w:eastAsia="仿宋_GB2312" w:cs="仿宋_GB2312"/>
          <w:b w:val="0"/>
          <w:b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4</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sz w:val="28"/>
          <w:szCs w:val="28"/>
        </w:rPr>
        <w:fldChar w:fldCharType="end"/>
      </w:r>
    </w:p>
    <w:p>
      <w:pPr>
        <w:pStyle w:val="11"/>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sz w:val="28"/>
          <w:szCs w:val="28"/>
        </w:rPr>
      </w:pPr>
      <w:r>
        <w:rPr>
          <w:rStyle w:val="15"/>
          <w:rFonts w:hint="eastAsia" w:ascii="仿宋_GB2312" w:hAnsi="仿宋_GB2312" w:eastAsia="仿宋_GB2312" w:cs="仿宋_GB2312"/>
          <w:b w:val="0"/>
          <w:bCs w:val="0"/>
          <w:sz w:val="28"/>
          <w:szCs w:val="28"/>
        </w:rPr>
        <w:fldChar w:fldCharType="begin"/>
      </w:r>
      <w:r>
        <w:rPr>
          <w:rStyle w:val="15"/>
          <w:rFonts w:hint="eastAsia" w:ascii="仿宋_GB2312" w:hAnsi="仿宋_GB2312" w:eastAsia="仿宋_GB2312" w:cs="仿宋_GB2312"/>
          <w:b w:val="0"/>
          <w:bCs w:val="0"/>
          <w:sz w:val="28"/>
          <w:szCs w:val="28"/>
        </w:rPr>
        <w:instrText xml:space="preserve"> </w:instrText>
      </w:r>
      <w:r>
        <w:rPr>
          <w:rFonts w:hint="eastAsia" w:ascii="仿宋_GB2312" w:hAnsi="仿宋_GB2312" w:eastAsia="仿宋_GB2312" w:cs="仿宋_GB2312"/>
          <w:b w:val="0"/>
          <w:bCs w:val="0"/>
          <w:sz w:val="28"/>
          <w:szCs w:val="28"/>
        </w:rPr>
        <w:instrText xml:space="preserve">HYPERLINK \l "_Toc72430483"</w:instrText>
      </w:r>
      <w:r>
        <w:rPr>
          <w:rStyle w:val="15"/>
          <w:rFonts w:hint="eastAsia" w:ascii="仿宋_GB2312" w:hAnsi="仿宋_GB2312" w:eastAsia="仿宋_GB2312" w:cs="仿宋_GB2312"/>
          <w:b w:val="0"/>
          <w:bCs w:val="0"/>
          <w:sz w:val="28"/>
          <w:szCs w:val="28"/>
        </w:rPr>
        <w:instrText xml:space="preserve"> </w:instrText>
      </w:r>
      <w:r>
        <w:rPr>
          <w:rStyle w:val="15"/>
          <w:rFonts w:hint="eastAsia" w:ascii="仿宋_GB2312" w:hAnsi="仿宋_GB2312" w:eastAsia="仿宋_GB2312" w:cs="仿宋_GB2312"/>
          <w:b w:val="0"/>
          <w:bCs w:val="0"/>
          <w:sz w:val="28"/>
          <w:szCs w:val="28"/>
        </w:rPr>
        <w:fldChar w:fldCharType="separate"/>
      </w:r>
      <w:r>
        <w:rPr>
          <w:rStyle w:val="15"/>
          <w:rFonts w:hint="eastAsia" w:ascii="仿宋_GB2312" w:hAnsi="仿宋_GB2312" w:eastAsia="仿宋_GB2312" w:cs="仿宋_GB2312"/>
          <w:b w:val="0"/>
          <w:bCs w:val="0"/>
          <w:sz w:val="28"/>
          <w:szCs w:val="28"/>
        </w:rPr>
        <w:t>（二）支出预算情况</w:t>
      </w:r>
      <w:r>
        <w:rPr>
          <w:rFonts w:hint="eastAsia" w:ascii="仿宋_GB2312" w:hAnsi="仿宋_GB2312" w:eastAsia="仿宋_GB2312" w:cs="仿宋_GB2312"/>
          <w:b w:val="0"/>
          <w:b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5</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sz w:val="28"/>
          <w:szCs w:val="28"/>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sz w:val="28"/>
          <w:szCs w:val="28"/>
        </w:rPr>
      </w:pPr>
      <w:r>
        <w:rPr>
          <w:rStyle w:val="15"/>
          <w:rFonts w:hint="eastAsia" w:ascii="仿宋_GB2312" w:hAnsi="仿宋_GB2312" w:eastAsia="仿宋_GB2312" w:cs="仿宋_GB2312"/>
          <w:b w:val="0"/>
          <w:bCs w:val="0"/>
          <w:i w:val="0"/>
          <w:iCs w:val="0"/>
          <w:sz w:val="28"/>
          <w:szCs w:val="28"/>
        </w:rPr>
        <w:fldChar w:fldCharType="begin"/>
      </w:r>
      <w:r>
        <w:rPr>
          <w:rStyle w:val="15"/>
          <w:rFonts w:hint="eastAsia" w:ascii="仿宋_GB2312" w:hAnsi="仿宋_GB2312" w:eastAsia="仿宋_GB2312" w:cs="仿宋_GB2312"/>
          <w:b w:val="0"/>
          <w:bCs w:val="0"/>
          <w:i w:val="0"/>
          <w:iCs w:val="0"/>
          <w:sz w:val="28"/>
          <w:szCs w:val="28"/>
        </w:rPr>
        <w:instrText xml:space="preserve"> </w:instrText>
      </w:r>
      <w:r>
        <w:rPr>
          <w:rFonts w:hint="eastAsia" w:ascii="仿宋_GB2312" w:hAnsi="仿宋_GB2312" w:eastAsia="仿宋_GB2312" w:cs="仿宋_GB2312"/>
          <w:b w:val="0"/>
          <w:bCs w:val="0"/>
          <w:i w:val="0"/>
          <w:iCs w:val="0"/>
          <w:sz w:val="28"/>
          <w:szCs w:val="28"/>
        </w:rPr>
        <w:instrText xml:space="preserve">HYPERLINK \l "_Toc72430484"</w:instrText>
      </w:r>
      <w:r>
        <w:rPr>
          <w:rStyle w:val="15"/>
          <w:rFonts w:hint="eastAsia" w:ascii="仿宋_GB2312" w:hAnsi="仿宋_GB2312" w:eastAsia="仿宋_GB2312" w:cs="仿宋_GB2312"/>
          <w:b w:val="0"/>
          <w:bCs w:val="0"/>
          <w:i w:val="0"/>
          <w:iCs w:val="0"/>
          <w:sz w:val="28"/>
          <w:szCs w:val="28"/>
        </w:rPr>
        <w:instrText xml:space="preserve"> </w:instrText>
      </w:r>
      <w:r>
        <w:rPr>
          <w:rStyle w:val="15"/>
          <w:rFonts w:hint="eastAsia" w:ascii="仿宋_GB2312" w:hAnsi="仿宋_GB2312" w:eastAsia="仿宋_GB2312" w:cs="仿宋_GB2312"/>
          <w:b w:val="0"/>
          <w:bCs w:val="0"/>
          <w:i w:val="0"/>
          <w:iCs w:val="0"/>
          <w:sz w:val="28"/>
          <w:szCs w:val="28"/>
        </w:rPr>
        <w:fldChar w:fldCharType="separate"/>
      </w:r>
      <w:r>
        <w:rPr>
          <w:rStyle w:val="15"/>
          <w:rFonts w:hint="eastAsia" w:ascii="仿宋_GB2312" w:hAnsi="仿宋_GB2312" w:eastAsia="仿宋_GB2312" w:cs="仿宋_GB2312"/>
          <w:b w:val="0"/>
          <w:bCs w:val="0"/>
          <w:i w:val="0"/>
          <w:iCs w:val="0"/>
          <w:sz w:val="28"/>
          <w:szCs w:val="28"/>
        </w:rPr>
        <w:t>四、财政拨款收支预算情况说明</w:t>
      </w:r>
      <w:r>
        <w:rPr>
          <w:rFonts w:hint="eastAsia" w:ascii="仿宋_GB2312" w:hAnsi="仿宋_GB2312" w:eastAsia="仿宋_GB2312" w:cs="仿宋_GB2312"/>
          <w:b w:val="0"/>
          <w:bCs w:val="0"/>
          <w:i w:val="0"/>
          <w:i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5</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i w:val="0"/>
          <w:iCs w:val="0"/>
          <w:sz w:val="28"/>
          <w:szCs w:val="28"/>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sz w:val="28"/>
          <w:szCs w:val="28"/>
        </w:rPr>
      </w:pPr>
      <w:r>
        <w:rPr>
          <w:rStyle w:val="15"/>
          <w:rFonts w:hint="eastAsia" w:ascii="仿宋_GB2312" w:hAnsi="仿宋_GB2312" w:eastAsia="仿宋_GB2312" w:cs="仿宋_GB2312"/>
          <w:b w:val="0"/>
          <w:bCs w:val="0"/>
          <w:i w:val="0"/>
          <w:iCs w:val="0"/>
          <w:sz w:val="28"/>
          <w:szCs w:val="28"/>
        </w:rPr>
        <w:fldChar w:fldCharType="begin"/>
      </w:r>
      <w:r>
        <w:rPr>
          <w:rStyle w:val="15"/>
          <w:rFonts w:hint="eastAsia" w:ascii="仿宋_GB2312" w:hAnsi="仿宋_GB2312" w:eastAsia="仿宋_GB2312" w:cs="仿宋_GB2312"/>
          <w:b w:val="0"/>
          <w:bCs w:val="0"/>
          <w:i w:val="0"/>
          <w:iCs w:val="0"/>
          <w:sz w:val="28"/>
          <w:szCs w:val="28"/>
        </w:rPr>
        <w:instrText xml:space="preserve"> </w:instrText>
      </w:r>
      <w:r>
        <w:rPr>
          <w:rFonts w:hint="eastAsia" w:ascii="仿宋_GB2312" w:hAnsi="仿宋_GB2312" w:eastAsia="仿宋_GB2312" w:cs="仿宋_GB2312"/>
          <w:b w:val="0"/>
          <w:bCs w:val="0"/>
          <w:i w:val="0"/>
          <w:iCs w:val="0"/>
          <w:sz w:val="28"/>
          <w:szCs w:val="28"/>
        </w:rPr>
        <w:instrText xml:space="preserve">HYPERLINK \l "_Toc72430485"</w:instrText>
      </w:r>
      <w:r>
        <w:rPr>
          <w:rStyle w:val="15"/>
          <w:rFonts w:hint="eastAsia" w:ascii="仿宋_GB2312" w:hAnsi="仿宋_GB2312" w:eastAsia="仿宋_GB2312" w:cs="仿宋_GB2312"/>
          <w:b w:val="0"/>
          <w:bCs w:val="0"/>
          <w:i w:val="0"/>
          <w:iCs w:val="0"/>
          <w:sz w:val="28"/>
          <w:szCs w:val="28"/>
        </w:rPr>
        <w:instrText xml:space="preserve"> </w:instrText>
      </w:r>
      <w:r>
        <w:rPr>
          <w:rStyle w:val="15"/>
          <w:rFonts w:hint="eastAsia" w:ascii="仿宋_GB2312" w:hAnsi="仿宋_GB2312" w:eastAsia="仿宋_GB2312" w:cs="仿宋_GB2312"/>
          <w:b w:val="0"/>
          <w:bCs w:val="0"/>
          <w:i w:val="0"/>
          <w:iCs w:val="0"/>
          <w:sz w:val="28"/>
          <w:szCs w:val="28"/>
        </w:rPr>
        <w:fldChar w:fldCharType="separate"/>
      </w:r>
      <w:r>
        <w:rPr>
          <w:rStyle w:val="15"/>
          <w:rFonts w:hint="eastAsia" w:ascii="仿宋_GB2312" w:hAnsi="仿宋_GB2312" w:eastAsia="仿宋_GB2312" w:cs="仿宋_GB2312"/>
          <w:b w:val="0"/>
          <w:bCs w:val="0"/>
          <w:i w:val="0"/>
          <w:iCs w:val="0"/>
          <w:sz w:val="28"/>
          <w:szCs w:val="28"/>
        </w:rPr>
        <w:t>五、一般公共预算当年拨款情况说明</w:t>
      </w:r>
      <w:r>
        <w:rPr>
          <w:rFonts w:hint="eastAsia" w:ascii="仿宋_GB2312" w:hAnsi="仿宋_GB2312" w:eastAsia="仿宋_GB2312" w:cs="仿宋_GB2312"/>
          <w:b w:val="0"/>
          <w:bCs w:val="0"/>
          <w:i w:val="0"/>
          <w:i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5</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i w:val="0"/>
          <w:iCs w:val="0"/>
          <w:sz w:val="28"/>
          <w:szCs w:val="28"/>
        </w:rPr>
        <w:fldChar w:fldCharType="end"/>
      </w:r>
    </w:p>
    <w:p>
      <w:pPr>
        <w:pStyle w:val="11"/>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sz w:val="28"/>
          <w:szCs w:val="28"/>
        </w:rPr>
      </w:pPr>
      <w:r>
        <w:rPr>
          <w:rStyle w:val="15"/>
          <w:rFonts w:hint="eastAsia" w:ascii="仿宋_GB2312" w:hAnsi="仿宋_GB2312" w:eastAsia="仿宋_GB2312" w:cs="仿宋_GB2312"/>
          <w:b w:val="0"/>
          <w:bCs w:val="0"/>
          <w:sz w:val="28"/>
          <w:szCs w:val="28"/>
        </w:rPr>
        <w:fldChar w:fldCharType="begin"/>
      </w:r>
      <w:r>
        <w:rPr>
          <w:rStyle w:val="15"/>
          <w:rFonts w:hint="eastAsia" w:ascii="仿宋_GB2312" w:hAnsi="仿宋_GB2312" w:eastAsia="仿宋_GB2312" w:cs="仿宋_GB2312"/>
          <w:b w:val="0"/>
          <w:bCs w:val="0"/>
          <w:sz w:val="28"/>
          <w:szCs w:val="28"/>
        </w:rPr>
        <w:instrText xml:space="preserve"> </w:instrText>
      </w:r>
      <w:r>
        <w:rPr>
          <w:rFonts w:hint="eastAsia" w:ascii="仿宋_GB2312" w:hAnsi="仿宋_GB2312" w:eastAsia="仿宋_GB2312" w:cs="仿宋_GB2312"/>
          <w:b w:val="0"/>
          <w:bCs w:val="0"/>
          <w:sz w:val="28"/>
          <w:szCs w:val="28"/>
        </w:rPr>
        <w:instrText xml:space="preserve">HYPERLINK \l "_Toc72430486"</w:instrText>
      </w:r>
      <w:r>
        <w:rPr>
          <w:rStyle w:val="15"/>
          <w:rFonts w:hint="eastAsia" w:ascii="仿宋_GB2312" w:hAnsi="仿宋_GB2312" w:eastAsia="仿宋_GB2312" w:cs="仿宋_GB2312"/>
          <w:b w:val="0"/>
          <w:bCs w:val="0"/>
          <w:sz w:val="28"/>
          <w:szCs w:val="28"/>
        </w:rPr>
        <w:instrText xml:space="preserve"> </w:instrText>
      </w:r>
      <w:r>
        <w:rPr>
          <w:rStyle w:val="15"/>
          <w:rFonts w:hint="eastAsia" w:ascii="仿宋_GB2312" w:hAnsi="仿宋_GB2312" w:eastAsia="仿宋_GB2312" w:cs="仿宋_GB2312"/>
          <w:b w:val="0"/>
          <w:bCs w:val="0"/>
          <w:sz w:val="28"/>
          <w:szCs w:val="28"/>
        </w:rPr>
        <w:fldChar w:fldCharType="separate"/>
      </w:r>
      <w:r>
        <w:rPr>
          <w:rStyle w:val="15"/>
          <w:rFonts w:hint="eastAsia" w:ascii="仿宋_GB2312" w:hAnsi="仿宋_GB2312" w:eastAsia="仿宋_GB2312" w:cs="仿宋_GB2312"/>
          <w:b w:val="0"/>
          <w:bCs w:val="0"/>
          <w:sz w:val="28"/>
          <w:szCs w:val="28"/>
        </w:rPr>
        <w:t>（一）一般公共预算当年拨款规模变化情况</w:t>
      </w:r>
      <w:r>
        <w:rPr>
          <w:rFonts w:hint="eastAsia" w:ascii="仿宋_GB2312" w:hAnsi="仿宋_GB2312" w:eastAsia="仿宋_GB2312" w:cs="仿宋_GB2312"/>
          <w:b w:val="0"/>
          <w:b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5</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sz w:val="28"/>
          <w:szCs w:val="28"/>
        </w:rPr>
        <w:fldChar w:fldCharType="end"/>
      </w:r>
    </w:p>
    <w:p>
      <w:pPr>
        <w:pStyle w:val="11"/>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sz w:val="28"/>
          <w:szCs w:val="28"/>
        </w:rPr>
      </w:pPr>
      <w:r>
        <w:rPr>
          <w:rStyle w:val="15"/>
          <w:rFonts w:hint="eastAsia" w:ascii="仿宋_GB2312" w:hAnsi="仿宋_GB2312" w:eastAsia="仿宋_GB2312" w:cs="仿宋_GB2312"/>
          <w:b w:val="0"/>
          <w:bCs w:val="0"/>
          <w:sz w:val="28"/>
          <w:szCs w:val="28"/>
        </w:rPr>
        <w:fldChar w:fldCharType="begin"/>
      </w:r>
      <w:r>
        <w:rPr>
          <w:rStyle w:val="15"/>
          <w:rFonts w:hint="eastAsia" w:ascii="仿宋_GB2312" w:hAnsi="仿宋_GB2312" w:eastAsia="仿宋_GB2312" w:cs="仿宋_GB2312"/>
          <w:b w:val="0"/>
          <w:bCs w:val="0"/>
          <w:sz w:val="28"/>
          <w:szCs w:val="28"/>
        </w:rPr>
        <w:instrText xml:space="preserve"> </w:instrText>
      </w:r>
      <w:r>
        <w:rPr>
          <w:rFonts w:hint="eastAsia" w:ascii="仿宋_GB2312" w:hAnsi="仿宋_GB2312" w:eastAsia="仿宋_GB2312" w:cs="仿宋_GB2312"/>
          <w:b w:val="0"/>
          <w:bCs w:val="0"/>
          <w:sz w:val="28"/>
          <w:szCs w:val="28"/>
        </w:rPr>
        <w:instrText xml:space="preserve">HYPERLINK \l "_Toc72430487"</w:instrText>
      </w:r>
      <w:r>
        <w:rPr>
          <w:rStyle w:val="15"/>
          <w:rFonts w:hint="eastAsia" w:ascii="仿宋_GB2312" w:hAnsi="仿宋_GB2312" w:eastAsia="仿宋_GB2312" w:cs="仿宋_GB2312"/>
          <w:b w:val="0"/>
          <w:bCs w:val="0"/>
          <w:sz w:val="28"/>
          <w:szCs w:val="28"/>
        </w:rPr>
        <w:instrText xml:space="preserve"> </w:instrText>
      </w:r>
      <w:r>
        <w:rPr>
          <w:rStyle w:val="15"/>
          <w:rFonts w:hint="eastAsia" w:ascii="仿宋_GB2312" w:hAnsi="仿宋_GB2312" w:eastAsia="仿宋_GB2312" w:cs="仿宋_GB2312"/>
          <w:b w:val="0"/>
          <w:bCs w:val="0"/>
          <w:sz w:val="28"/>
          <w:szCs w:val="28"/>
        </w:rPr>
        <w:fldChar w:fldCharType="separate"/>
      </w:r>
      <w:r>
        <w:rPr>
          <w:rStyle w:val="15"/>
          <w:rFonts w:hint="eastAsia" w:ascii="仿宋_GB2312" w:hAnsi="仿宋_GB2312" w:eastAsia="仿宋_GB2312" w:cs="仿宋_GB2312"/>
          <w:b w:val="0"/>
          <w:bCs w:val="0"/>
          <w:sz w:val="28"/>
          <w:szCs w:val="28"/>
        </w:rPr>
        <w:t>（二）一般公共预算当年拨款结构情况</w:t>
      </w:r>
      <w:r>
        <w:rPr>
          <w:rFonts w:hint="eastAsia" w:ascii="仿宋_GB2312" w:hAnsi="仿宋_GB2312" w:eastAsia="仿宋_GB2312" w:cs="仿宋_GB2312"/>
          <w:b w:val="0"/>
          <w:b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5</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sz w:val="28"/>
          <w:szCs w:val="28"/>
        </w:rPr>
        <w:fldChar w:fldCharType="end"/>
      </w:r>
    </w:p>
    <w:p>
      <w:pPr>
        <w:pStyle w:val="11"/>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sz w:val="28"/>
          <w:szCs w:val="28"/>
          <w:lang w:val="en-US" w:eastAsia="zh-CN"/>
        </w:rPr>
      </w:pPr>
      <w:r>
        <w:rPr>
          <w:rStyle w:val="15"/>
          <w:rFonts w:hint="eastAsia" w:ascii="仿宋_GB2312" w:hAnsi="仿宋_GB2312" w:eastAsia="仿宋_GB2312" w:cs="仿宋_GB2312"/>
          <w:b w:val="0"/>
          <w:bCs w:val="0"/>
          <w:sz w:val="28"/>
          <w:szCs w:val="28"/>
        </w:rPr>
        <w:fldChar w:fldCharType="begin"/>
      </w:r>
      <w:r>
        <w:rPr>
          <w:rStyle w:val="15"/>
          <w:rFonts w:hint="eastAsia" w:ascii="仿宋_GB2312" w:hAnsi="仿宋_GB2312" w:eastAsia="仿宋_GB2312" w:cs="仿宋_GB2312"/>
          <w:b w:val="0"/>
          <w:bCs w:val="0"/>
          <w:sz w:val="28"/>
          <w:szCs w:val="28"/>
        </w:rPr>
        <w:instrText xml:space="preserve"> </w:instrText>
      </w:r>
      <w:r>
        <w:rPr>
          <w:rFonts w:hint="eastAsia" w:ascii="仿宋_GB2312" w:hAnsi="仿宋_GB2312" w:eastAsia="仿宋_GB2312" w:cs="仿宋_GB2312"/>
          <w:b w:val="0"/>
          <w:bCs w:val="0"/>
          <w:sz w:val="28"/>
          <w:szCs w:val="28"/>
        </w:rPr>
        <w:instrText xml:space="preserve">HYPERLINK \l "_Toc72430488"</w:instrText>
      </w:r>
      <w:r>
        <w:rPr>
          <w:rStyle w:val="15"/>
          <w:rFonts w:hint="eastAsia" w:ascii="仿宋_GB2312" w:hAnsi="仿宋_GB2312" w:eastAsia="仿宋_GB2312" w:cs="仿宋_GB2312"/>
          <w:b w:val="0"/>
          <w:bCs w:val="0"/>
          <w:sz w:val="28"/>
          <w:szCs w:val="28"/>
        </w:rPr>
        <w:instrText xml:space="preserve"> </w:instrText>
      </w:r>
      <w:r>
        <w:rPr>
          <w:rStyle w:val="15"/>
          <w:rFonts w:hint="eastAsia" w:ascii="仿宋_GB2312" w:hAnsi="仿宋_GB2312" w:eastAsia="仿宋_GB2312" w:cs="仿宋_GB2312"/>
          <w:b w:val="0"/>
          <w:bCs w:val="0"/>
          <w:sz w:val="28"/>
          <w:szCs w:val="28"/>
        </w:rPr>
        <w:fldChar w:fldCharType="separate"/>
      </w:r>
      <w:r>
        <w:rPr>
          <w:rStyle w:val="15"/>
          <w:rFonts w:hint="eastAsia" w:ascii="仿宋_GB2312" w:hAnsi="仿宋_GB2312" w:eastAsia="仿宋_GB2312" w:cs="仿宋_GB2312"/>
          <w:b w:val="0"/>
          <w:bCs w:val="0"/>
          <w:sz w:val="28"/>
          <w:szCs w:val="28"/>
        </w:rPr>
        <w:t>（三）一般公共预算当年拨款具体使用情况</w:t>
      </w:r>
      <w:r>
        <w:rPr>
          <w:rFonts w:hint="eastAsia" w:ascii="仿宋_GB2312" w:hAnsi="仿宋_GB2312" w:eastAsia="仿宋_GB2312" w:cs="仿宋_GB2312"/>
          <w:b w:val="0"/>
          <w:bCs w:val="0"/>
          <w:sz w:val="28"/>
          <w:szCs w:val="28"/>
        </w:rPr>
        <w:tab/>
      </w:r>
      <w:r>
        <w:rPr>
          <w:rStyle w:val="15"/>
          <w:rFonts w:hint="eastAsia" w:ascii="仿宋_GB2312" w:hAnsi="仿宋_GB2312" w:eastAsia="仿宋_GB2312" w:cs="仿宋_GB2312"/>
          <w:b w:val="0"/>
          <w:bCs w:val="0"/>
          <w:sz w:val="28"/>
          <w:szCs w:val="28"/>
        </w:rPr>
        <w:fldChar w:fldCharType="end"/>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5</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sz w:val="28"/>
          <w:szCs w:val="28"/>
        </w:rPr>
      </w:pPr>
      <w:r>
        <w:rPr>
          <w:rStyle w:val="15"/>
          <w:rFonts w:hint="eastAsia" w:ascii="仿宋_GB2312" w:hAnsi="仿宋_GB2312" w:eastAsia="仿宋_GB2312" w:cs="仿宋_GB2312"/>
          <w:b w:val="0"/>
          <w:bCs w:val="0"/>
          <w:i w:val="0"/>
          <w:iCs w:val="0"/>
          <w:sz w:val="28"/>
          <w:szCs w:val="28"/>
        </w:rPr>
        <w:fldChar w:fldCharType="begin"/>
      </w:r>
      <w:r>
        <w:rPr>
          <w:rStyle w:val="15"/>
          <w:rFonts w:hint="eastAsia" w:ascii="仿宋_GB2312" w:hAnsi="仿宋_GB2312" w:eastAsia="仿宋_GB2312" w:cs="仿宋_GB2312"/>
          <w:b w:val="0"/>
          <w:bCs w:val="0"/>
          <w:i w:val="0"/>
          <w:iCs w:val="0"/>
          <w:sz w:val="28"/>
          <w:szCs w:val="28"/>
        </w:rPr>
        <w:instrText xml:space="preserve"> </w:instrText>
      </w:r>
      <w:r>
        <w:rPr>
          <w:rFonts w:hint="eastAsia" w:ascii="仿宋_GB2312" w:hAnsi="仿宋_GB2312" w:eastAsia="仿宋_GB2312" w:cs="仿宋_GB2312"/>
          <w:b w:val="0"/>
          <w:bCs w:val="0"/>
          <w:i w:val="0"/>
          <w:iCs w:val="0"/>
          <w:sz w:val="28"/>
          <w:szCs w:val="28"/>
        </w:rPr>
        <w:instrText xml:space="preserve">HYPERLINK \l "_Toc72430489"</w:instrText>
      </w:r>
      <w:r>
        <w:rPr>
          <w:rStyle w:val="15"/>
          <w:rFonts w:hint="eastAsia" w:ascii="仿宋_GB2312" w:hAnsi="仿宋_GB2312" w:eastAsia="仿宋_GB2312" w:cs="仿宋_GB2312"/>
          <w:b w:val="0"/>
          <w:bCs w:val="0"/>
          <w:i w:val="0"/>
          <w:iCs w:val="0"/>
          <w:sz w:val="28"/>
          <w:szCs w:val="28"/>
        </w:rPr>
        <w:instrText xml:space="preserve"> </w:instrText>
      </w:r>
      <w:r>
        <w:rPr>
          <w:rStyle w:val="15"/>
          <w:rFonts w:hint="eastAsia" w:ascii="仿宋_GB2312" w:hAnsi="仿宋_GB2312" w:eastAsia="仿宋_GB2312" w:cs="仿宋_GB2312"/>
          <w:b w:val="0"/>
          <w:bCs w:val="0"/>
          <w:i w:val="0"/>
          <w:iCs w:val="0"/>
          <w:sz w:val="28"/>
          <w:szCs w:val="28"/>
        </w:rPr>
        <w:fldChar w:fldCharType="separate"/>
      </w:r>
      <w:r>
        <w:rPr>
          <w:rStyle w:val="15"/>
          <w:rFonts w:hint="eastAsia" w:ascii="仿宋_GB2312" w:hAnsi="仿宋_GB2312" w:eastAsia="仿宋_GB2312" w:cs="仿宋_GB2312"/>
          <w:b w:val="0"/>
          <w:bCs w:val="0"/>
          <w:i w:val="0"/>
          <w:iCs w:val="0"/>
          <w:sz w:val="28"/>
          <w:szCs w:val="28"/>
        </w:rPr>
        <w:t>六、一般公共预算基本支出情况说明</w:t>
      </w:r>
      <w:r>
        <w:rPr>
          <w:rFonts w:hint="eastAsia" w:ascii="仿宋_GB2312" w:hAnsi="仿宋_GB2312" w:eastAsia="仿宋_GB2312" w:cs="仿宋_GB2312"/>
          <w:b w:val="0"/>
          <w:bCs w:val="0"/>
          <w:i w:val="0"/>
          <w:i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7</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i w:val="0"/>
          <w:iCs w:val="0"/>
          <w:sz w:val="28"/>
          <w:szCs w:val="28"/>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sz w:val="28"/>
          <w:szCs w:val="28"/>
        </w:rPr>
      </w:pPr>
      <w:r>
        <w:rPr>
          <w:rStyle w:val="15"/>
          <w:rFonts w:hint="eastAsia" w:ascii="仿宋_GB2312" w:hAnsi="仿宋_GB2312" w:eastAsia="仿宋_GB2312" w:cs="仿宋_GB2312"/>
          <w:b w:val="0"/>
          <w:bCs w:val="0"/>
          <w:i w:val="0"/>
          <w:iCs w:val="0"/>
          <w:sz w:val="28"/>
          <w:szCs w:val="28"/>
        </w:rPr>
        <w:fldChar w:fldCharType="begin"/>
      </w:r>
      <w:r>
        <w:rPr>
          <w:rStyle w:val="15"/>
          <w:rFonts w:hint="eastAsia" w:ascii="仿宋_GB2312" w:hAnsi="仿宋_GB2312" w:eastAsia="仿宋_GB2312" w:cs="仿宋_GB2312"/>
          <w:b w:val="0"/>
          <w:bCs w:val="0"/>
          <w:i w:val="0"/>
          <w:iCs w:val="0"/>
          <w:sz w:val="28"/>
          <w:szCs w:val="28"/>
        </w:rPr>
        <w:instrText xml:space="preserve"> </w:instrText>
      </w:r>
      <w:r>
        <w:rPr>
          <w:rFonts w:hint="eastAsia" w:ascii="仿宋_GB2312" w:hAnsi="仿宋_GB2312" w:eastAsia="仿宋_GB2312" w:cs="仿宋_GB2312"/>
          <w:b w:val="0"/>
          <w:bCs w:val="0"/>
          <w:i w:val="0"/>
          <w:iCs w:val="0"/>
          <w:sz w:val="28"/>
          <w:szCs w:val="28"/>
        </w:rPr>
        <w:instrText xml:space="preserve">HYPERLINK \l "_Toc72430490"</w:instrText>
      </w:r>
      <w:r>
        <w:rPr>
          <w:rStyle w:val="15"/>
          <w:rFonts w:hint="eastAsia" w:ascii="仿宋_GB2312" w:hAnsi="仿宋_GB2312" w:eastAsia="仿宋_GB2312" w:cs="仿宋_GB2312"/>
          <w:b w:val="0"/>
          <w:bCs w:val="0"/>
          <w:i w:val="0"/>
          <w:iCs w:val="0"/>
          <w:sz w:val="28"/>
          <w:szCs w:val="28"/>
        </w:rPr>
        <w:instrText xml:space="preserve"> </w:instrText>
      </w:r>
      <w:r>
        <w:rPr>
          <w:rStyle w:val="15"/>
          <w:rFonts w:hint="eastAsia" w:ascii="仿宋_GB2312" w:hAnsi="仿宋_GB2312" w:eastAsia="仿宋_GB2312" w:cs="仿宋_GB2312"/>
          <w:b w:val="0"/>
          <w:bCs w:val="0"/>
          <w:i w:val="0"/>
          <w:iCs w:val="0"/>
          <w:sz w:val="28"/>
          <w:szCs w:val="28"/>
        </w:rPr>
        <w:fldChar w:fldCharType="separate"/>
      </w:r>
      <w:r>
        <w:rPr>
          <w:rStyle w:val="15"/>
          <w:rFonts w:hint="eastAsia" w:ascii="仿宋_GB2312" w:hAnsi="仿宋_GB2312" w:eastAsia="仿宋_GB2312" w:cs="仿宋_GB2312"/>
          <w:b w:val="0"/>
          <w:bCs w:val="0"/>
          <w:i w:val="0"/>
          <w:iCs w:val="0"/>
          <w:sz w:val="28"/>
          <w:szCs w:val="28"/>
        </w:rPr>
        <w:t>七、“三公”经费财政拨款预算安排情况</w:t>
      </w:r>
      <w:r>
        <w:rPr>
          <w:rFonts w:hint="eastAsia" w:ascii="仿宋_GB2312" w:hAnsi="仿宋_GB2312" w:eastAsia="仿宋_GB2312" w:cs="仿宋_GB2312"/>
          <w:b w:val="0"/>
          <w:bCs w:val="0"/>
          <w:i w:val="0"/>
          <w:i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8</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i w:val="0"/>
          <w:iCs w:val="0"/>
          <w:sz w:val="28"/>
          <w:szCs w:val="28"/>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sz w:val="28"/>
          <w:szCs w:val="28"/>
        </w:rPr>
      </w:pPr>
      <w:r>
        <w:rPr>
          <w:rStyle w:val="15"/>
          <w:rFonts w:hint="eastAsia" w:ascii="仿宋_GB2312" w:hAnsi="仿宋_GB2312" w:eastAsia="仿宋_GB2312" w:cs="仿宋_GB2312"/>
          <w:b w:val="0"/>
          <w:bCs w:val="0"/>
          <w:i w:val="0"/>
          <w:iCs w:val="0"/>
          <w:sz w:val="28"/>
          <w:szCs w:val="28"/>
        </w:rPr>
        <w:fldChar w:fldCharType="begin"/>
      </w:r>
      <w:r>
        <w:rPr>
          <w:rStyle w:val="15"/>
          <w:rFonts w:hint="eastAsia" w:ascii="仿宋_GB2312" w:hAnsi="仿宋_GB2312" w:eastAsia="仿宋_GB2312" w:cs="仿宋_GB2312"/>
          <w:b w:val="0"/>
          <w:bCs w:val="0"/>
          <w:i w:val="0"/>
          <w:iCs w:val="0"/>
          <w:sz w:val="28"/>
          <w:szCs w:val="28"/>
        </w:rPr>
        <w:instrText xml:space="preserve"> </w:instrText>
      </w:r>
      <w:r>
        <w:rPr>
          <w:rFonts w:hint="eastAsia" w:ascii="仿宋_GB2312" w:hAnsi="仿宋_GB2312" w:eastAsia="仿宋_GB2312" w:cs="仿宋_GB2312"/>
          <w:b w:val="0"/>
          <w:bCs w:val="0"/>
          <w:i w:val="0"/>
          <w:iCs w:val="0"/>
          <w:sz w:val="28"/>
          <w:szCs w:val="28"/>
        </w:rPr>
        <w:instrText xml:space="preserve">HYPERLINK \l "_Toc72430491"</w:instrText>
      </w:r>
      <w:r>
        <w:rPr>
          <w:rStyle w:val="15"/>
          <w:rFonts w:hint="eastAsia" w:ascii="仿宋_GB2312" w:hAnsi="仿宋_GB2312" w:eastAsia="仿宋_GB2312" w:cs="仿宋_GB2312"/>
          <w:b w:val="0"/>
          <w:bCs w:val="0"/>
          <w:i w:val="0"/>
          <w:iCs w:val="0"/>
          <w:sz w:val="28"/>
          <w:szCs w:val="28"/>
        </w:rPr>
        <w:instrText xml:space="preserve"> </w:instrText>
      </w:r>
      <w:r>
        <w:rPr>
          <w:rStyle w:val="15"/>
          <w:rFonts w:hint="eastAsia" w:ascii="仿宋_GB2312" w:hAnsi="仿宋_GB2312" w:eastAsia="仿宋_GB2312" w:cs="仿宋_GB2312"/>
          <w:b w:val="0"/>
          <w:bCs w:val="0"/>
          <w:i w:val="0"/>
          <w:iCs w:val="0"/>
          <w:sz w:val="28"/>
          <w:szCs w:val="28"/>
        </w:rPr>
        <w:fldChar w:fldCharType="separate"/>
      </w:r>
      <w:r>
        <w:rPr>
          <w:rStyle w:val="15"/>
          <w:rFonts w:hint="eastAsia" w:ascii="仿宋_GB2312" w:hAnsi="仿宋_GB2312" w:eastAsia="仿宋_GB2312" w:cs="仿宋_GB2312"/>
          <w:b w:val="0"/>
          <w:bCs w:val="0"/>
          <w:i w:val="0"/>
          <w:iCs w:val="0"/>
          <w:sz w:val="28"/>
          <w:szCs w:val="28"/>
        </w:rPr>
        <w:t>八、政府性基金预算支出情况说明</w:t>
      </w:r>
      <w:r>
        <w:rPr>
          <w:rFonts w:hint="eastAsia" w:ascii="仿宋_GB2312" w:hAnsi="仿宋_GB2312" w:eastAsia="仿宋_GB2312" w:cs="仿宋_GB2312"/>
          <w:b w:val="0"/>
          <w:bCs w:val="0"/>
          <w:i w:val="0"/>
          <w:i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8</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i w:val="0"/>
          <w:iCs w:val="0"/>
          <w:sz w:val="28"/>
          <w:szCs w:val="28"/>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sz w:val="28"/>
          <w:szCs w:val="28"/>
        </w:rPr>
      </w:pPr>
      <w:r>
        <w:rPr>
          <w:rStyle w:val="15"/>
          <w:rFonts w:hint="eastAsia" w:ascii="仿宋_GB2312" w:hAnsi="仿宋_GB2312" w:eastAsia="仿宋_GB2312" w:cs="仿宋_GB2312"/>
          <w:b w:val="0"/>
          <w:bCs w:val="0"/>
          <w:i w:val="0"/>
          <w:iCs w:val="0"/>
          <w:sz w:val="28"/>
          <w:szCs w:val="28"/>
        </w:rPr>
        <w:fldChar w:fldCharType="begin"/>
      </w:r>
      <w:r>
        <w:rPr>
          <w:rStyle w:val="15"/>
          <w:rFonts w:hint="eastAsia" w:ascii="仿宋_GB2312" w:hAnsi="仿宋_GB2312" w:eastAsia="仿宋_GB2312" w:cs="仿宋_GB2312"/>
          <w:b w:val="0"/>
          <w:bCs w:val="0"/>
          <w:i w:val="0"/>
          <w:iCs w:val="0"/>
          <w:sz w:val="28"/>
          <w:szCs w:val="28"/>
        </w:rPr>
        <w:instrText xml:space="preserve"> </w:instrText>
      </w:r>
      <w:r>
        <w:rPr>
          <w:rFonts w:hint="eastAsia" w:ascii="仿宋_GB2312" w:hAnsi="仿宋_GB2312" w:eastAsia="仿宋_GB2312" w:cs="仿宋_GB2312"/>
          <w:b w:val="0"/>
          <w:bCs w:val="0"/>
          <w:i w:val="0"/>
          <w:iCs w:val="0"/>
          <w:sz w:val="28"/>
          <w:szCs w:val="28"/>
        </w:rPr>
        <w:instrText xml:space="preserve">HYPERLINK \l "_Toc72430492"</w:instrText>
      </w:r>
      <w:r>
        <w:rPr>
          <w:rStyle w:val="15"/>
          <w:rFonts w:hint="eastAsia" w:ascii="仿宋_GB2312" w:hAnsi="仿宋_GB2312" w:eastAsia="仿宋_GB2312" w:cs="仿宋_GB2312"/>
          <w:b w:val="0"/>
          <w:bCs w:val="0"/>
          <w:i w:val="0"/>
          <w:iCs w:val="0"/>
          <w:sz w:val="28"/>
          <w:szCs w:val="28"/>
        </w:rPr>
        <w:instrText xml:space="preserve"> </w:instrText>
      </w:r>
      <w:r>
        <w:rPr>
          <w:rStyle w:val="15"/>
          <w:rFonts w:hint="eastAsia" w:ascii="仿宋_GB2312" w:hAnsi="仿宋_GB2312" w:eastAsia="仿宋_GB2312" w:cs="仿宋_GB2312"/>
          <w:b w:val="0"/>
          <w:bCs w:val="0"/>
          <w:i w:val="0"/>
          <w:iCs w:val="0"/>
          <w:sz w:val="28"/>
          <w:szCs w:val="28"/>
        </w:rPr>
        <w:fldChar w:fldCharType="separate"/>
      </w:r>
      <w:r>
        <w:rPr>
          <w:rStyle w:val="15"/>
          <w:rFonts w:hint="eastAsia" w:ascii="仿宋_GB2312" w:hAnsi="仿宋_GB2312" w:eastAsia="仿宋_GB2312" w:cs="仿宋_GB2312"/>
          <w:b w:val="0"/>
          <w:bCs w:val="0"/>
          <w:i w:val="0"/>
          <w:iCs w:val="0"/>
          <w:sz w:val="28"/>
          <w:szCs w:val="28"/>
        </w:rPr>
        <w:t>九、国有资本经营预算支出情况说明</w:t>
      </w:r>
      <w:r>
        <w:rPr>
          <w:rFonts w:hint="eastAsia" w:ascii="仿宋_GB2312" w:hAnsi="仿宋_GB2312" w:eastAsia="仿宋_GB2312" w:cs="仿宋_GB2312"/>
          <w:b w:val="0"/>
          <w:bCs w:val="0"/>
          <w:i w:val="0"/>
          <w:i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9</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i w:val="0"/>
          <w:iCs w:val="0"/>
          <w:sz w:val="28"/>
          <w:szCs w:val="28"/>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sz w:val="28"/>
          <w:szCs w:val="28"/>
        </w:rPr>
      </w:pPr>
      <w:r>
        <w:rPr>
          <w:rStyle w:val="15"/>
          <w:rFonts w:hint="eastAsia" w:ascii="仿宋_GB2312" w:hAnsi="仿宋_GB2312" w:eastAsia="仿宋_GB2312" w:cs="仿宋_GB2312"/>
          <w:b w:val="0"/>
          <w:bCs w:val="0"/>
          <w:i w:val="0"/>
          <w:iCs w:val="0"/>
          <w:sz w:val="28"/>
          <w:szCs w:val="28"/>
        </w:rPr>
        <w:fldChar w:fldCharType="begin"/>
      </w:r>
      <w:r>
        <w:rPr>
          <w:rStyle w:val="15"/>
          <w:rFonts w:hint="eastAsia" w:ascii="仿宋_GB2312" w:hAnsi="仿宋_GB2312" w:eastAsia="仿宋_GB2312" w:cs="仿宋_GB2312"/>
          <w:b w:val="0"/>
          <w:bCs w:val="0"/>
          <w:i w:val="0"/>
          <w:iCs w:val="0"/>
          <w:sz w:val="28"/>
          <w:szCs w:val="28"/>
        </w:rPr>
        <w:instrText xml:space="preserve"> </w:instrText>
      </w:r>
      <w:r>
        <w:rPr>
          <w:rFonts w:hint="eastAsia" w:ascii="仿宋_GB2312" w:hAnsi="仿宋_GB2312" w:eastAsia="仿宋_GB2312" w:cs="仿宋_GB2312"/>
          <w:b w:val="0"/>
          <w:bCs w:val="0"/>
          <w:i w:val="0"/>
          <w:iCs w:val="0"/>
          <w:sz w:val="28"/>
          <w:szCs w:val="28"/>
        </w:rPr>
        <w:instrText xml:space="preserve">HYPERLINK \l "_Toc72430493"</w:instrText>
      </w:r>
      <w:r>
        <w:rPr>
          <w:rStyle w:val="15"/>
          <w:rFonts w:hint="eastAsia" w:ascii="仿宋_GB2312" w:hAnsi="仿宋_GB2312" w:eastAsia="仿宋_GB2312" w:cs="仿宋_GB2312"/>
          <w:b w:val="0"/>
          <w:bCs w:val="0"/>
          <w:i w:val="0"/>
          <w:iCs w:val="0"/>
          <w:sz w:val="28"/>
          <w:szCs w:val="28"/>
        </w:rPr>
        <w:instrText xml:space="preserve"> </w:instrText>
      </w:r>
      <w:r>
        <w:rPr>
          <w:rStyle w:val="15"/>
          <w:rFonts w:hint="eastAsia" w:ascii="仿宋_GB2312" w:hAnsi="仿宋_GB2312" w:eastAsia="仿宋_GB2312" w:cs="仿宋_GB2312"/>
          <w:b w:val="0"/>
          <w:bCs w:val="0"/>
          <w:i w:val="0"/>
          <w:iCs w:val="0"/>
          <w:sz w:val="28"/>
          <w:szCs w:val="28"/>
        </w:rPr>
        <w:fldChar w:fldCharType="separate"/>
      </w:r>
      <w:r>
        <w:rPr>
          <w:rStyle w:val="15"/>
          <w:rFonts w:hint="eastAsia" w:ascii="仿宋_GB2312" w:hAnsi="仿宋_GB2312" w:eastAsia="仿宋_GB2312" w:cs="仿宋_GB2312"/>
          <w:b w:val="0"/>
          <w:bCs w:val="0"/>
          <w:i w:val="0"/>
          <w:iCs w:val="0"/>
          <w:sz w:val="28"/>
          <w:szCs w:val="28"/>
        </w:rPr>
        <w:t>十、其他重要事项的情况说明</w:t>
      </w:r>
      <w:r>
        <w:rPr>
          <w:rFonts w:hint="eastAsia" w:ascii="仿宋_GB2312" w:hAnsi="仿宋_GB2312" w:eastAsia="仿宋_GB2312" w:cs="仿宋_GB2312"/>
          <w:b w:val="0"/>
          <w:bCs w:val="0"/>
          <w:i w:val="0"/>
          <w:i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9</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i w:val="0"/>
          <w:iCs w:val="0"/>
          <w:sz w:val="28"/>
          <w:szCs w:val="28"/>
        </w:rPr>
        <w:fldChar w:fldCharType="end"/>
      </w:r>
    </w:p>
    <w:p>
      <w:pPr>
        <w:pStyle w:val="11"/>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sz w:val="28"/>
          <w:szCs w:val="28"/>
        </w:rPr>
      </w:pPr>
      <w:r>
        <w:rPr>
          <w:rStyle w:val="15"/>
          <w:rFonts w:hint="eastAsia" w:ascii="仿宋_GB2312" w:hAnsi="仿宋_GB2312" w:eastAsia="仿宋_GB2312" w:cs="仿宋_GB2312"/>
          <w:b w:val="0"/>
          <w:bCs w:val="0"/>
          <w:sz w:val="28"/>
          <w:szCs w:val="28"/>
        </w:rPr>
        <w:fldChar w:fldCharType="begin"/>
      </w:r>
      <w:r>
        <w:rPr>
          <w:rStyle w:val="15"/>
          <w:rFonts w:hint="eastAsia" w:ascii="仿宋_GB2312" w:hAnsi="仿宋_GB2312" w:eastAsia="仿宋_GB2312" w:cs="仿宋_GB2312"/>
          <w:b w:val="0"/>
          <w:bCs w:val="0"/>
          <w:sz w:val="28"/>
          <w:szCs w:val="28"/>
        </w:rPr>
        <w:instrText xml:space="preserve"> </w:instrText>
      </w:r>
      <w:r>
        <w:rPr>
          <w:rFonts w:hint="eastAsia" w:ascii="仿宋_GB2312" w:hAnsi="仿宋_GB2312" w:eastAsia="仿宋_GB2312" w:cs="仿宋_GB2312"/>
          <w:b w:val="0"/>
          <w:bCs w:val="0"/>
          <w:sz w:val="28"/>
          <w:szCs w:val="28"/>
        </w:rPr>
        <w:instrText xml:space="preserve">HYPERLINK \l "_Toc72430494"</w:instrText>
      </w:r>
      <w:r>
        <w:rPr>
          <w:rStyle w:val="15"/>
          <w:rFonts w:hint="eastAsia" w:ascii="仿宋_GB2312" w:hAnsi="仿宋_GB2312" w:eastAsia="仿宋_GB2312" w:cs="仿宋_GB2312"/>
          <w:b w:val="0"/>
          <w:bCs w:val="0"/>
          <w:sz w:val="28"/>
          <w:szCs w:val="28"/>
        </w:rPr>
        <w:instrText xml:space="preserve"> </w:instrText>
      </w:r>
      <w:r>
        <w:rPr>
          <w:rStyle w:val="15"/>
          <w:rFonts w:hint="eastAsia" w:ascii="仿宋_GB2312" w:hAnsi="仿宋_GB2312" w:eastAsia="仿宋_GB2312" w:cs="仿宋_GB2312"/>
          <w:b w:val="0"/>
          <w:bCs w:val="0"/>
          <w:sz w:val="28"/>
          <w:szCs w:val="28"/>
        </w:rPr>
        <w:fldChar w:fldCharType="separate"/>
      </w:r>
      <w:r>
        <w:rPr>
          <w:rStyle w:val="15"/>
          <w:rFonts w:hint="eastAsia" w:ascii="仿宋_GB2312" w:hAnsi="仿宋_GB2312" w:eastAsia="仿宋_GB2312" w:cs="仿宋_GB2312"/>
          <w:b w:val="0"/>
          <w:bCs w:val="0"/>
          <w:sz w:val="28"/>
          <w:szCs w:val="28"/>
        </w:rPr>
        <w:t>（一）机关运行经费情况</w:t>
      </w:r>
      <w:r>
        <w:rPr>
          <w:rFonts w:hint="eastAsia" w:ascii="仿宋_GB2312" w:hAnsi="仿宋_GB2312" w:eastAsia="仿宋_GB2312" w:cs="仿宋_GB2312"/>
          <w:b w:val="0"/>
          <w:b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9</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sz w:val="28"/>
          <w:szCs w:val="28"/>
        </w:rPr>
        <w:fldChar w:fldCharType="end"/>
      </w:r>
    </w:p>
    <w:p>
      <w:pPr>
        <w:pStyle w:val="11"/>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sz w:val="28"/>
          <w:szCs w:val="28"/>
        </w:rPr>
      </w:pPr>
      <w:r>
        <w:rPr>
          <w:rStyle w:val="15"/>
          <w:rFonts w:hint="eastAsia" w:ascii="仿宋_GB2312" w:hAnsi="仿宋_GB2312" w:eastAsia="仿宋_GB2312" w:cs="仿宋_GB2312"/>
          <w:b w:val="0"/>
          <w:bCs w:val="0"/>
          <w:sz w:val="28"/>
          <w:szCs w:val="28"/>
        </w:rPr>
        <w:fldChar w:fldCharType="begin"/>
      </w:r>
      <w:r>
        <w:rPr>
          <w:rStyle w:val="15"/>
          <w:rFonts w:hint="eastAsia" w:ascii="仿宋_GB2312" w:hAnsi="仿宋_GB2312" w:eastAsia="仿宋_GB2312" w:cs="仿宋_GB2312"/>
          <w:b w:val="0"/>
          <w:bCs w:val="0"/>
          <w:sz w:val="28"/>
          <w:szCs w:val="28"/>
        </w:rPr>
        <w:instrText xml:space="preserve"> </w:instrText>
      </w:r>
      <w:r>
        <w:rPr>
          <w:rFonts w:hint="eastAsia" w:ascii="仿宋_GB2312" w:hAnsi="仿宋_GB2312" w:eastAsia="仿宋_GB2312" w:cs="仿宋_GB2312"/>
          <w:b w:val="0"/>
          <w:bCs w:val="0"/>
          <w:sz w:val="28"/>
          <w:szCs w:val="28"/>
        </w:rPr>
        <w:instrText xml:space="preserve">HYPERLINK \l "_Toc72430495"</w:instrText>
      </w:r>
      <w:r>
        <w:rPr>
          <w:rStyle w:val="15"/>
          <w:rFonts w:hint="eastAsia" w:ascii="仿宋_GB2312" w:hAnsi="仿宋_GB2312" w:eastAsia="仿宋_GB2312" w:cs="仿宋_GB2312"/>
          <w:b w:val="0"/>
          <w:bCs w:val="0"/>
          <w:sz w:val="28"/>
          <w:szCs w:val="28"/>
        </w:rPr>
        <w:instrText xml:space="preserve"> </w:instrText>
      </w:r>
      <w:r>
        <w:rPr>
          <w:rStyle w:val="15"/>
          <w:rFonts w:hint="eastAsia" w:ascii="仿宋_GB2312" w:hAnsi="仿宋_GB2312" w:eastAsia="仿宋_GB2312" w:cs="仿宋_GB2312"/>
          <w:b w:val="0"/>
          <w:bCs w:val="0"/>
          <w:sz w:val="28"/>
          <w:szCs w:val="28"/>
        </w:rPr>
        <w:fldChar w:fldCharType="separate"/>
      </w:r>
      <w:r>
        <w:rPr>
          <w:rStyle w:val="15"/>
          <w:rFonts w:hint="eastAsia" w:ascii="仿宋_GB2312" w:hAnsi="仿宋_GB2312" w:eastAsia="仿宋_GB2312" w:cs="仿宋_GB2312"/>
          <w:b w:val="0"/>
          <w:bCs w:val="0"/>
          <w:sz w:val="28"/>
          <w:szCs w:val="28"/>
        </w:rPr>
        <w:t>（二）政府采购情况</w:t>
      </w:r>
      <w:r>
        <w:rPr>
          <w:rFonts w:hint="eastAsia" w:ascii="仿宋_GB2312" w:hAnsi="仿宋_GB2312" w:eastAsia="仿宋_GB2312" w:cs="仿宋_GB2312"/>
          <w:b w:val="0"/>
          <w:b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9</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sz w:val="28"/>
          <w:szCs w:val="28"/>
        </w:rPr>
        <w:fldChar w:fldCharType="end"/>
      </w:r>
    </w:p>
    <w:p>
      <w:pPr>
        <w:pStyle w:val="11"/>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sz w:val="28"/>
          <w:szCs w:val="28"/>
        </w:rPr>
      </w:pPr>
      <w:r>
        <w:rPr>
          <w:rStyle w:val="15"/>
          <w:rFonts w:hint="eastAsia" w:ascii="仿宋_GB2312" w:hAnsi="仿宋_GB2312" w:eastAsia="仿宋_GB2312" w:cs="仿宋_GB2312"/>
          <w:b w:val="0"/>
          <w:bCs w:val="0"/>
          <w:sz w:val="28"/>
          <w:szCs w:val="28"/>
        </w:rPr>
        <w:fldChar w:fldCharType="begin"/>
      </w:r>
      <w:r>
        <w:rPr>
          <w:rStyle w:val="15"/>
          <w:rFonts w:hint="eastAsia" w:ascii="仿宋_GB2312" w:hAnsi="仿宋_GB2312" w:eastAsia="仿宋_GB2312" w:cs="仿宋_GB2312"/>
          <w:b w:val="0"/>
          <w:bCs w:val="0"/>
          <w:sz w:val="28"/>
          <w:szCs w:val="28"/>
        </w:rPr>
        <w:instrText xml:space="preserve"> </w:instrText>
      </w:r>
      <w:r>
        <w:rPr>
          <w:rFonts w:hint="eastAsia" w:ascii="仿宋_GB2312" w:hAnsi="仿宋_GB2312" w:eastAsia="仿宋_GB2312" w:cs="仿宋_GB2312"/>
          <w:b w:val="0"/>
          <w:bCs w:val="0"/>
          <w:sz w:val="28"/>
          <w:szCs w:val="28"/>
        </w:rPr>
        <w:instrText xml:space="preserve">HYPERLINK \l "_Toc72430496"</w:instrText>
      </w:r>
      <w:r>
        <w:rPr>
          <w:rStyle w:val="15"/>
          <w:rFonts w:hint="eastAsia" w:ascii="仿宋_GB2312" w:hAnsi="仿宋_GB2312" w:eastAsia="仿宋_GB2312" w:cs="仿宋_GB2312"/>
          <w:b w:val="0"/>
          <w:bCs w:val="0"/>
          <w:sz w:val="28"/>
          <w:szCs w:val="28"/>
        </w:rPr>
        <w:instrText xml:space="preserve"> </w:instrText>
      </w:r>
      <w:r>
        <w:rPr>
          <w:rStyle w:val="15"/>
          <w:rFonts w:hint="eastAsia" w:ascii="仿宋_GB2312" w:hAnsi="仿宋_GB2312" w:eastAsia="仿宋_GB2312" w:cs="仿宋_GB2312"/>
          <w:b w:val="0"/>
          <w:bCs w:val="0"/>
          <w:sz w:val="28"/>
          <w:szCs w:val="28"/>
        </w:rPr>
        <w:fldChar w:fldCharType="separate"/>
      </w:r>
      <w:r>
        <w:rPr>
          <w:rStyle w:val="15"/>
          <w:rFonts w:hint="eastAsia" w:ascii="仿宋_GB2312" w:hAnsi="仿宋_GB2312" w:eastAsia="仿宋_GB2312" w:cs="仿宋_GB2312"/>
          <w:b w:val="0"/>
          <w:bCs w:val="0"/>
          <w:sz w:val="28"/>
          <w:szCs w:val="28"/>
        </w:rPr>
        <w:t>（三）国有资产占有使用情况</w:t>
      </w:r>
      <w:r>
        <w:rPr>
          <w:rFonts w:hint="eastAsia" w:ascii="仿宋_GB2312" w:hAnsi="仿宋_GB2312" w:eastAsia="仿宋_GB2312" w:cs="仿宋_GB2312"/>
          <w:b w:val="0"/>
          <w:b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9</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sz w:val="28"/>
          <w:szCs w:val="28"/>
        </w:rPr>
        <w:fldChar w:fldCharType="end"/>
      </w:r>
    </w:p>
    <w:p>
      <w:pPr>
        <w:pStyle w:val="11"/>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sz w:val="28"/>
          <w:szCs w:val="28"/>
        </w:rPr>
      </w:pPr>
      <w:r>
        <w:rPr>
          <w:rStyle w:val="15"/>
          <w:rFonts w:hint="eastAsia" w:ascii="仿宋_GB2312" w:hAnsi="仿宋_GB2312" w:eastAsia="仿宋_GB2312" w:cs="仿宋_GB2312"/>
          <w:b w:val="0"/>
          <w:bCs w:val="0"/>
          <w:sz w:val="28"/>
          <w:szCs w:val="28"/>
        </w:rPr>
        <w:fldChar w:fldCharType="begin"/>
      </w:r>
      <w:r>
        <w:rPr>
          <w:rStyle w:val="15"/>
          <w:rFonts w:hint="eastAsia" w:ascii="仿宋_GB2312" w:hAnsi="仿宋_GB2312" w:eastAsia="仿宋_GB2312" w:cs="仿宋_GB2312"/>
          <w:b w:val="0"/>
          <w:bCs w:val="0"/>
          <w:sz w:val="28"/>
          <w:szCs w:val="28"/>
        </w:rPr>
        <w:instrText xml:space="preserve"> </w:instrText>
      </w:r>
      <w:r>
        <w:rPr>
          <w:rFonts w:hint="eastAsia" w:ascii="仿宋_GB2312" w:hAnsi="仿宋_GB2312" w:eastAsia="仿宋_GB2312" w:cs="仿宋_GB2312"/>
          <w:b w:val="0"/>
          <w:bCs w:val="0"/>
          <w:sz w:val="28"/>
          <w:szCs w:val="28"/>
        </w:rPr>
        <w:instrText xml:space="preserve">HYPERLINK \l "_Toc72430497"</w:instrText>
      </w:r>
      <w:r>
        <w:rPr>
          <w:rStyle w:val="15"/>
          <w:rFonts w:hint="eastAsia" w:ascii="仿宋_GB2312" w:hAnsi="仿宋_GB2312" w:eastAsia="仿宋_GB2312" w:cs="仿宋_GB2312"/>
          <w:b w:val="0"/>
          <w:bCs w:val="0"/>
          <w:sz w:val="28"/>
          <w:szCs w:val="28"/>
        </w:rPr>
        <w:instrText xml:space="preserve"> </w:instrText>
      </w:r>
      <w:r>
        <w:rPr>
          <w:rStyle w:val="15"/>
          <w:rFonts w:hint="eastAsia" w:ascii="仿宋_GB2312" w:hAnsi="仿宋_GB2312" w:eastAsia="仿宋_GB2312" w:cs="仿宋_GB2312"/>
          <w:b w:val="0"/>
          <w:bCs w:val="0"/>
          <w:sz w:val="28"/>
          <w:szCs w:val="28"/>
        </w:rPr>
        <w:fldChar w:fldCharType="separate"/>
      </w:r>
      <w:r>
        <w:rPr>
          <w:rStyle w:val="15"/>
          <w:rFonts w:hint="eastAsia" w:ascii="仿宋_GB2312" w:hAnsi="仿宋_GB2312" w:eastAsia="仿宋_GB2312" w:cs="仿宋_GB2312"/>
          <w:b w:val="0"/>
          <w:bCs w:val="0"/>
          <w:sz w:val="28"/>
          <w:szCs w:val="28"/>
        </w:rPr>
        <w:t>（四）绩效目标设置情况</w:t>
      </w:r>
      <w:r>
        <w:rPr>
          <w:rFonts w:hint="eastAsia" w:ascii="仿宋_GB2312" w:hAnsi="仿宋_GB2312" w:eastAsia="仿宋_GB2312" w:cs="仿宋_GB2312"/>
          <w:b w:val="0"/>
          <w:b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9</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sz w:val="28"/>
          <w:szCs w:val="28"/>
        </w:rPr>
        <w:fldChar w:fldCharType="end"/>
      </w:r>
    </w:p>
    <w:p>
      <w:pPr>
        <w:pStyle w:val="10"/>
        <w:pageBreakBefore w:val="0"/>
        <w:widowControl w:val="0"/>
        <w:tabs>
          <w:tab w:val="right" w:leader="dot" w:pos="8296"/>
        </w:tabs>
        <w:kinsoku/>
        <w:wordWrap/>
        <w:overflowPunct/>
        <w:topLinePunct w:val="0"/>
        <w:bidi w:val="0"/>
        <w:spacing w:line="580" w:lineRule="exact"/>
        <w:textAlignment w:val="auto"/>
        <w:rPr>
          <w:rFonts w:hint="eastAsia" w:ascii="仿宋_GB2312" w:hAnsi="仿宋_GB2312" w:eastAsia="仿宋_GB2312" w:cs="仿宋_GB2312"/>
          <w:b w:val="0"/>
          <w:bCs w:val="0"/>
          <w:i w:val="0"/>
          <w:iCs w:val="0"/>
          <w:sz w:val="28"/>
          <w:szCs w:val="28"/>
          <w:lang w:val="en-US" w:eastAsia="zh-CN"/>
        </w:rPr>
      </w:pPr>
      <w:r>
        <w:rPr>
          <w:rStyle w:val="15"/>
          <w:rFonts w:hint="eastAsia" w:ascii="仿宋_GB2312" w:hAnsi="仿宋_GB2312" w:eastAsia="仿宋_GB2312" w:cs="仿宋_GB2312"/>
          <w:b w:val="0"/>
          <w:bCs w:val="0"/>
          <w:i w:val="0"/>
          <w:iCs w:val="0"/>
          <w:sz w:val="28"/>
          <w:szCs w:val="28"/>
        </w:rPr>
        <w:fldChar w:fldCharType="begin"/>
      </w:r>
      <w:r>
        <w:rPr>
          <w:rStyle w:val="15"/>
          <w:rFonts w:hint="eastAsia" w:ascii="仿宋_GB2312" w:hAnsi="仿宋_GB2312" w:eastAsia="仿宋_GB2312" w:cs="仿宋_GB2312"/>
          <w:b w:val="0"/>
          <w:bCs w:val="0"/>
          <w:i w:val="0"/>
          <w:iCs w:val="0"/>
          <w:sz w:val="28"/>
          <w:szCs w:val="28"/>
        </w:rPr>
        <w:instrText xml:space="preserve"> </w:instrText>
      </w:r>
      <w:r>
        <w:rPr>
          <w:rFonts w:hint="eastAsia" w:ascii="仿宋_GB2312" w:hAnsi="仿宋_GB2312" w:eastAsia="仿宋_GB2312" w:cs="仿宋_GB2312"/>
          <w:b w:val="0"/>
          <w:bCs w:val="0"/>
          <w:i w:val="0"/>
          <w:iCs w:val="0"/>
          <w:sz w:val="28"/>
          <w:szCs w:val="28"/>
        </w:rPr>
        <w:instrText xml:space="preserve">HYPERLINK \l "_Toc72430498"</w:instrText>
      </w:r>
      <w:r>
        <w:rPr>
          <w:rStyle w:val="15"/>
          <w:rFonts w:hint="eastAsia" w:ascii="仿宋_GB2312" w:hAnsi="仿宋_GB2312" w:eastAsia="仿宋_GB2312" w:cs="仿宋_GB2312"/>
          <w:b w:val="0"/>
          <w:bCs w:val="0"/>
          <w:i w:val="0"/>
          <w:iCs w:val="0"/>
          <w:sz w:val="28"/>
          <w:szCs w:val="28"/>
        </w:rPr>
        <w:instrText xml:space="preserve"> </w:instrText>
      </w:r>
      <w:r>
        <w:rPr>
          <w:rStyle w:val="15"/>
          <w:rFonts w:hint="eastAsia" w:ascii="仿宋_GB2312" w:hAnsi="仿宋_GB2312" w:eastAsia="仿宋_GB2312" w:cs="仿宋_GB2312"/>
          <w:b w:val="0"/>
          <w:bCs w:val="0"/>
          <w:i w:val="0"/>
          <w:iCs w:val="0"/>
          <w:sz w:val="28"/>
          <w:szCs w:val="28"/>
        </w:rPr>
        <w:fldChar w:fldCharType="separate"/>
      </w:r>
      <w:r>
        <w:rPr>
          <w:rStyle w:val="15"/>
          <w:rFonts w:hint="eastAsia" w:ascii="仿宋_GB2312" w:hAnsi="仿宋_GB2312" w:eastAsia="仿宋_GB2312" w:cs="仿宋_GB2312"/>
          <w:b w:val="0"/>
          <w:bCs w:val="0"/>
          <w:i w:val="0"/>
          <w:iCs w:val="0"/>
          <w:sz w:val="28"/>
          <w:szCs w:val="28"/>
        </w:rPr>
        <w:t>十一、名词解释</w:t>
      </w:r>
      <w:r>
        <w:rPr>
          <w:rFonts w:hint="eastAsia" w:ascii="仿宋_GB2312" w:hAnsi="仿宋_GB2312" w:eastAsia="仿宋_GB2312" w:cs="仿宋_GB2312"/>
          <w:b w:val="0"/>
          <w:bCs w:val="0"/>
          <w:i w:val="0"/>
          <w:iCs w:val="0"/>
          <w:sz w:val="28"/>
          <w:szCs w:val="28"/>
        </w:rPr>
        <w:tab/>
      </w:r>
      <w:r>
        <w:rPr>
          <w:rStyle w:val="14"/>
          <w:rFonts w:hint="eastAsia" w:ascii="仿宋_GB2312" w:hAnsi="仿宋_GB2312" w:eastAsia="仿宋_GB2312" w:cs="仿宋_GB2312"/>
          <w:b w:val="0"/>
          <w:bCs w:val="0"/>
          <w:i w:val="0"/>
          <w:iCs w:val="0"/>
          <w:sz w:val="28"/>
          <w:szCs w:val="28"/>
        </w:rPr>
        <w:fldChar w:fldCharType="begin"/>
      </w:r>
      <w:r>
        <w:rPr>
          <w:rStyle w:val="14"/>
          <w:rFonts w:hint="eastAsia" w:ascii="仿宋_GB2312" w:hAnsi="仿宋_GB2312" w:eastAsia="仿宋_GB2312" w:cs="仿宋_GB2312"/>
          <w:b w:val="0"/>
          <w:bCs w:val="0"/>
          <w:i w:val="0"/>
          <w:iCs w:val="0"/>
          <w:sz w:val="28"/>
          <w:szCs w:val="28"/>
        </w:rPr>
        <w:instrText xml:space="preserve"> PAGEREF _Toc9207 \h </w:instrText>
      </w:r>
      <w:r>
        <w:rPr>
          <w:rStyle w:val="14"/>
          <w:rFonts w:hint="eastAsia" w:ascii="仿宋_GB2312" w:hAnsi="仿宋_GB2312" w:eastAsia="仿宋_GB2312" w:cs="仿宋_GB2312"/>
          <w:b w:val="0"/>
          <w:bCs w:val="0"/>
          <w:i w:val="0"/>
          <w:iCs w:val="0"/>
          <w:sz w:val="28"/>
          <w:szCs w:val="28"/>
        </w:rPr>
        <w:fldChar w:fldCharType="separate"/>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lang w:val="en-US" w:eastAsia="zh-CN"/>
        </w:rPr>
        <w:t>10</w:t>
      </w:r>
      <w:r>
        <w:rPr>
          <w:rStyle w:val="14"/>
          <w:rFonts w:hint="eastAsia" w:ascii="仿宋_GB2312" w:hAnsi="仿宋_GB2312" w:eastAsia="仿宋_GB2312" w:cs="仿宋_GB2312"/>
          <w:b w:val="0"/>
          <w:bCs w:val="0"/>
          <w:i w:val="0"/>
          <w:iCs w:val="0"/>
          <w:sz w:val="28"/>
          <w:szCs w:val="28"/>
        </w:rPr>
        <w:t xml:space="preserve"> -</w:t>
      </w:r>
      <w:r>
        <w:rPr>
          <w:rStyle w:val="14"/>
          <w:rFonts w:hint="eastAsia" w:ascii="仿宋_GB2312" w:hAnsi="仿宋_GB2312" w:eastAsia="仿宋_GB2312" w:cs="仿宋_GB2312"/>
          <w:b w:val="0"/>
          <w:bCs w:val="0"/>
          <w:i w:val="0"/>
          <w:iCs w:val="0"/>
          <w:sz w:val="28"/>
          <w:szCs w:val="28"/>
        </w:rPr>
        <w:fldChar w:fldCharType="end"/>
      </w:r>
      <w:r>
        <w:rPr>
          <w:rStyle w:val="15"/>
          <w:rFonts w:hint="eastAsia" w:ascii="仿宋_GB2312" w:hAnsi="仿宋_GB2312" w:eastAsia="仿宋_GB2312" w:cs="仿宋_GB2312"/>
          <w:b w:val="0"/>
          <w:bCs w:val="0"/>
          <w:i w:val="0"/>
          <w:iCs w:val="0"/>
          <w:sz w:val="28"/>
          <w:szCs w:val="28"/>
        </w:rPr>
        <w:fldChar w:fldCharType="end"/>
      </w:r>
    </w:p>
    <w:p>
      <w:pPr>
        <w:pageBreakBefore w:val="0"/>
        <w:widowControl w:val="0"/>
        <w:kinsoku/>
        <w:wordWrap/>
        <w:overflowPunct/>
        <w:topLinePunct w:val="0"/>
        <w:bidi w:val="0"/>
        <w:spacing w:line="580" w:lineRule="exact"/>
        <w:jc w:val="center"/>
        <w:textAlignment w:val="auto"/>
        <w:rPr>
          <w:rFonts w:hint="eastAsia" w:ascii="黑体" w:eastAsia="黑体"/>
          <w:sz w:val="32"/>
          <w:szCs w:val="32"/>
        </w:rPr>
      </w:pPr>
      <w:r>
        <w:rPr>
          <w:rFonts w:hint="eastAsia" w:ascii="仿宋_GB2312" w:hAnsi="仿宋_GB2312" w:eastAsia="仿宋_GB2312" w:cs="仿宋_GB2312"/>
          <w:sz w:val="28"/>
          <w:szCs w:val="28"/>
          <w:lang w:val="zh-CN"/>
        </w:rPr>
        <w:fldChar w:fldCharType="end"/>
      </w:r>
      <w:bookmarkEnd w:id="0"/>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92" w:lineRule="exact"/>
        <w:ind w:firstLine="640" w:firstLineChars="200"/>
        <w:textAlignment w:val="auto"/>
        <w:rPr>
          <w:rFonts w:hint="eastAsia" w:ascii="黑体" w:eastAsia="黑体"/>
          <w:b w:val="0"/>
          <w:bCs w:val="0"/>
          <w:color w:val="auto"/>
          <w:sz w:val="32"/>
          <w:szCs w:val="32"/>
          <w:lang w:val="en-US" w:eastAsia="zh-CN"/>
        </w:rPr>
        <w:sectPr>
          <w:pgSz w:w="11906" w:h="16838"/>
          <w:pgMar w:top="1871" w:right="1531" w:bottom="1871" w:left="1531" w:header="851" w:footer="992" w:gutter="0"/>
          <w:cols w:space="425" w:num="1"/>
          <w:docGrid w:type="lines" w:linePitch="312" w:charSpace="0"/>
        </w:sectPr>
      </w:pPr>
      <w:bookmarkStart w:id="1" w:name="_Hlk72429058"/>
      <w:bookmarkStart w:id="2" w:name="_Toc72430477"/>
    </w:p>
    <w:p>
      <w:pPr>
        <w:pStyle w:val="4"/>
        <w:pageBreakBefore w:val="0"/>
        <w:widowControl w:val="0"/>
        <w:kinsoku/>
        <w:wordWrap/>
        <w:overflowPunct/>
        <w:topLinePunct w:val="0"/>
        <w:bidi w:val="0"/>
        <w:spacing w:line="580" w:lineRule="exact"/>
        <w:ind w:firstLine="640" w:firstLineChars="200"/>
        <w:textAlignment w:val="auto"/>
        <w:rPr>
          <w:rFonts w:hint="eastAsia" w:ascii="黑体" w:hAnsi="Times New Roman" w:eastAsia="黑体" w:cs="Times New Roman"/>
          <w:b w:val="0"/>
          <w:bCs w:val="0"/>
          <w:sz w:val="32"/>
          <w:szCs w:val="32"/>
        </w:rPr>
      </w:pPr>
      <w:r>
        <w:rPr>
          <w:rFonts w:hint="eastAsia" w:ascii="黑体" w:hAnsi="Times New Roman" w:eastAsia="黑体" w:cs="Times New Roman"/>
          <w:b w:val="0"/>
          <w:bCs w:val="0"/>
          <w:sz w:val="32"/>
          <w:szCs w:val="32"/>
          <w:lang w:val="en-US" w:eastAsia="zh-CN"/>
        </w:rPr>
        <w:t>一、</w:t>
      </w:r>
      <w:r>
        <w:rPr>
          <w:rFonts w:hint="eastAsia" w:ascii="黑体" w:hAnsi="Times New Roman" w:eastAsia="黑体" w:cs="Times New Roman"/>
          <w:b w:val="0"/>
          <w:bCs w:val="0"/>
          <w:sz w:val="32"/>
          <w:szCs w:val="32"/>
        </w:rPr>
        <w:t>基本职能及主要工作</w:t>
      </w:r>
      <w:bookmarkEnd w:id="1"/>
      <w:bookmarkEnd w:id="2"/>
      <w:bookmarkStart w:id="3" w:name="_Toc72430478"/>
    </w:p>
    <w:p>
      <w:pPr>
        <w:pStyle w:val="6"/>
        <w:pageBreakBefore w:val="0"/>
        <w:widowControl w:val="0"/>
        <w:kinsoku/>
        <w:wordWrap/>
        <w:overflowPunct/>
        <w:topLinePunct w:val="0"/>
        <w:bidi w:val="0"/>
        <w:adjustRightInd w:val="0"/>
        <w:snapToGrid w:val="0"/>
        <w:spacing w:line="580" w:lineRule="exact"/>
        <w:ind w:left="561" w:leftChars="267" w:firstLine="32" w:firstLineChars="10"/>
        <w:textAlignment w:val="auto"/>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中共自贡市委政法委员会职能简介</w:t>
      </w:r>
      <w:bookmarkEnd w:id="3"/>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40"/>
        </w:rPr>
      </w:pPr>
      <w:bookmarkStart w:id="4" w:name="_Toc72430479"/>
      <w:r>
        <w:rPr>
          <w:rFonts w:hint="default" w:ascii="Times New Roman" w:hAnsi="Times New Roman" w:eastAsia="仿宋_GB2312" w:cs="Times New Roman"/>
          <w:sz w:val="32"/>
          <w:szCs w:val="40"/>
          <w:lang w:val="en-US" w:eastAsia="zh-CN"/>
        </w:rPr>
        <w:t>1.</w:t>
      </w:r>
      <w:r>
        <w:rPr>
          <w:rFonts w:hint="eastAsia" w:ascii="仿宋_GB2312" w:hAnsi="仿宋_GB2312" w:eastAsia="仿宋_GB2312" w:cs="仿宋_GB2312"/>
          <w:sz w:val="32"/>
          <w:szCs w:val="40"/>
        </w:rPr>
        <w:t>深入贯彻党的路线方针政策和决策部署，统一政法各部门思想和行动，坚持党对政法工作的绝对领导，坚决维护党中央权威和集中统一领导。</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40"/>
        </w:rPr>
      </w:pPr>
      <w:r>
        <w:rPr>
          <w:rFonts w:hint="default" w:ascii="Times New Roman" w:hAnsi="Times New Roman" w:eastAsia="仿宋_GB2312" w:cs="Times New Roman"/>
          <w:sz w:val="32"/>
          <w:szCs w:val="40"/>
          <w:lang w:val="en-US" w:eastAsia="zh-CN"/>
        </w:rPr>
        <w:t>2.</w:t>
      </w:r>
      <w:r>
        <w:rPr>
          <w:rFonts w:hint="eastAsia" w:ascii="仿宋_GB2312" w:hAnsi="仿宋_GB2312" w:eastAsia="仿宋_GB2312" w:cs="仿宋_GB2312"/>
          <w:sz w:val="32"/>
          <w:szCs w:val="40"/>
        </w:rPr>
        <w:t>深入贯彻党中央决定和省委、市委决策，对政法工作研究提出全局性部署，推进平安自贡、法治自贡建设，加强过硬队伍建设，深化智能化建设，促进社会公平正义、保障人民安居乐业。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40"/>
        </w:rPr>
      </w:pPr>
      <w:r>
        <w:rPr>
          <w:rFonts w:hint="default" w:ascii="Times New Roman" w:hAnsi="Times New Roman" w:eastAsia="仿宋_GB2312" w:cs="Times New Roman"/>
          <w:sz w:val="32"/>
          <w:szCs w:val="40"/>
          <w:lang w:val="en-US" w:eastAsia="zh-CN"/>
        </w:rPr>
        <w:t>3.</w:t>
      </w:r>
      <w:r>
        <w:rPr>
          <w:rFonts w:hint="eastAsia" w:ascii="仿宋_GB2312" w:hAnsi="仿宋_GB2312" w:eastAsia="仿宋_GB2312" w:cs="仿宋_GB2312"/>
          <w:sz w:val="32"/>
          <w:szCs w:val="40"/>
        </w:rPr>
        <w:t>了解掌握和分析研判政法工作情况动态，构建矛盾纠纷多元化解体系和机制，</w:t>
      </w:r>
      <w:r>
        <w:rPr>
          <w:rFonts w:hint="eastAsia" w:ascii="仿宋_GB2312" w:hAnsi="仿宋_GB2312" w:eastAsia="仿宋_GB2312" w:cs="仿宋_GB2312"/>
          <w:sz w:val="32"/>
          <w:szCs w:val="40"/>
          <w:lang w:eastAsia="zh-CN"/>
        </w:rPr>
        <w:t>协调推动全市开展常态化扫黑除恶斗争，协调推进市域社会治理现代化工作</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40"/>
        </w:rPr>
      </w:pPr>
      <w:r>
        <w:rPr>
          <w:rFonts w:hint="default" w:ascii="Times New Roman" w:hAnsi="Times New Roman" w:eastAsia="仿宋_GB2312" w:cs="Times New Roman"/>
          <w:sz w:val="32"/>
          <w:szCs w:val="40"/>
          <w:lang w:val="en-US" w:eastAsia="zh-CN"/>
        </w:rPr>
        <w:t>4.</w:t>
      </w:r>
      <w:r>
        <w:rPr>
          <w:rFonts w:hint="eastAsia" w:ascii="仿宋_GB2312" w:hAnsi="仿宋_GB2312" w:eastAsia="仿宋_GB2312" w:cs="仿宋_GB2312"/>
          <w:sz w:val="32"/>
          <w:szCs w:val="40"/>
        </w:rPr>
        <w:t>加强对政法工作的督查。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40"/>
        </w:rPr>
      </w:pPr>
      <w:r>
        <w:rPr>
          <w:rFonts w:hint="default" w:ascii="Times New Roman" w:hAnsi="Times New Roman" w:eastAsia="仿宋_GB2312" w:cs="Times New Roman"/>
          <w:sz w:val="32"/>
          <w:szCs w:val="40"/>
          <w:lang w:val="en-US" w:eastAsia="zh-CN"/>
        </w:rPr>
        <w:t>5.</w:t>
      </w:r>
      <w:r>
        <w:rPr>
          <w:rFonts w:hint="eastAsia" w:ascii="仿宋_GB2312" w:hAnsi="仿宋_GB2312" w:eastAsia="仿宋_GB2312" w:cs="仿宋_GB2312"/>
          <w:sz w:val="32"/>
          <w:szCs w:val="40"/>
        </w:rPr>
        <w:t>组织开展政法领域的调查研究，研究拟订全市政法工作的政策措施，及时向市委提出建议。</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40"/>
        </w:rPr>
      </w:pPr>
      <w:r>
        <w:rPr>
          <w:rFonts w:hint="default" w:ascii="Times New Roman" w:hAnsi="Times New Roman" w:eastAsia="仿宋_GB2312" w:cs="Times New Roman"/>
          <w:sz w:val="32"/>
          <w:szCs w:val="40"/>
          <w:lang w:val="en-US" w:eastAsia="zh-CN"/>
        </w:rPr>
        <w:t>6.</w:t>
      </w:r>
      <w:r>
        <w:rPr>
          <w:rFonts w:hint="eastAsia" w:ascii="仿宋_GB2312" w:hAnsi="仿宋_GB2312" w:eastAsia="仿宋_GB2312" w:cs="仿宋_GB2312"/>
          <w:sz w:val="32"/>
          <w:szCs w:val="40"/>
        </w:rPr>
        <w:t>掌握分析政法舆情动态，指导协调政法部门媒体网络宣传工作。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40"/>
        </w:rPr>
      </w:pPr>
      <w:r>
        <w:rPr>
          <w:rFonts w:hint="default" w:ascii="Times New Roman" w:hAnsi="Times New Roman" w:eastAsia="仿宋_GB2312" w:cs="Times New Roman"/>
          <w:sz w:val="32"/>
          <w:szCs w:val="40"/>
          <w:lang w:val="en-US" w:eastAsia="zh-CN"/>
        </w:rPr>
        <w:t>7.</w:t>
      </w:r>
      <w:r>
        <w:rPr>
          <w:rFonts w:hint="eastAsia" w:ascii="仿宋_GB2312" w:hAnsi="仿宋_GB2312" w:eastAsia="仿宋_GB2312" w:cs="仿宋_GB2312"/>
          <w:sz w:val="32"/>
          <w:szCs w:val="40"/>
        </w:rPr>
        <w:t>监督和支持政法各部门依法行使职权，指导和协调政法各部门密切配合，推进严格执法、公正司法。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40"/>
        </w:rPr>
      </w:pPr>
      <w:r>
        <w:rPr>
          <w:rFonts w:hint="default" w:ascii="Times New Roman" w:hAnsi="Times New Roman" w:eastAsia="仿宋_GB2312" w:cs="Times New Roman"/>
          <w:sz w:val="32"/>
          <w:szCs w:val="40"/>
          <w:lang w:val="en-US" w:eastAsia="zh-CN"/>
        </w:rPr>
        <w:t>8.</w:t>
      </w:r>
      <w:r>
        <w:rPr>
          <w:rFonts w:hint="eastAsia" w:ascii="仿宋_GB2312" w:hAnsi="仿宋_GB2312" w:eastAsia="仿宋_GB2312" w:cs="仿宋_GB2312"/>
          <w:sz w:val="32"/>
          <w:szCs w:val="40"/>
        </w:rPr>
        <w:t>组织研究政法改革中带有方向性、倾向性和普遍性的重大问题，深化政法改革。</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40"/>
        </w:rPr>
      </w:pPr>
      <w:r>
        <w:rPr>
          <w:rFonts w:hint="default" w:ascii="Times New Roman" w:hAnsi="Times New Roman" w:eastAsia="仿宋_GB2312" w:cs="Times New Roman"/>
          <w:sz w:val="32"/>
          <w:szCs w:val="40"/>
          <w:lang w:val="en-US" w:eastAsia="zh-CN"/>
        </w:rPr>
        <w:t>9.</w:t>
      </w:r>
      <w:r>
        <w:rPr>
          <w:rFonts w:hint="eastAsia" w:ascii="仿宋_GB2312" w:hAnsi="仿宋_GB2312" w:eastAsia="仿宋_GB2312" w:cs="仿宋_GB2312"/>
          <w:sz w:val="32"/>
          <w:szCs w:val="40"/>
        </w:rPr>
        <w:t>指导推动政法系统党的建设和政法队伍建设，协同市级有关职能部门管理监督政法领导干部。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40"/>
        </w:rPr>
      </w:pPr>
      <w:r>
        <w:rPr>
          <w:rFonts w:hint="default" w:ascii="Times New Roman" w:hAnsi="Times New Roman" w:eastAsia="仿宋_GB2312" w:cs="Times New Roman"/>
          <w:sz w:val="32"/>
          <w:szCs w:val="40"/>
          <w:lang w:val="en-US" w:eastAsia="zh-CN"/>
        </w:rPr>
        <w:t>10.</w:t>
      </w:r>
      <w:r>
        <w:rPr>
          <w:rFonts w:hint="eastAsia" w:ascii="仿宋_GB2312" w:hAnsi="仿宋_GB2312" w:eastAsia="仿宋_GB2312" w:cs="仿宋_GB2312"/>
          <w:sz w:val="32"/>
          <w:szCs w:val="40"/>
        </w:rPr>
        <w:t>完成市委交办的其他任务。</w:t>
      </w:r>
    </w:p>
    <w:p>
      <w:pPr>
        <w:pStyle w:val="6"/>
        <w:pageBreakBefore w:val="0"/>
        <w:widowControl w:val="0"/>
        <w:kinsoku/>
        <w:wordWrap/>
        <w:overflowPunct/>
        <w:topLinePunct w:val="0"/>
        <w:bidi w:val="0"/>
        <w:adjustRightInd w:val="0"/>
        <w:snapToGrid w:val="0"/>
        <w:spacing w:line="580" w:lineRule="exact"/>
        <w:ind w:left="561" w:leftChars="267" w:firstLine="32" w:firstLineChars="10"/>
        <w:textAlignment w:val="auto"/>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中共自贡市委政法委员会</w:t>
      </w:r>
      <w:r>
        <w:rPr>
          <w:rFonts w:hint="default" w:ascii="楷体_GB2312" w:hAnsi="楷体_GB2312" w:eastAsia="楷体_GB2312" w:cs="楷体_GB2312"/>
          <w:b w:val="0"/>
          <w:bCs w:val="0"/>
          <w:sz w:val="32"/>
          <w:szCs w:val="32"/>
        </w:rPr>
        <w:t>202</w:t>
      </w:r>
      <w:r>
        <w:rPr>
          <w:rFonts w:hint="default"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年重点工作</w:t>
      </w:r>
      <w:bookmarkEnd w:id="4"/>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zh-CN" w:eastAsia="zh-CN"/>
        </w:rPr>
      </w:pPr>
      <w:bookmarkStart w:id="5" w:name="_Toc72430480"/>
      <w:r>
        <w:rPr>
          <w:rFonts w:hint="eastAsia" w:ascii="仿宋_GB2312" w:hAnsi="仿宋_GB2312" w:eastAsia="仿宋_GB2312" w:cs="仿宋_GB2312"/>
          <w:sz w:val="32"/>
          <w:szCs w:val="32"/>
          <w:lang w:val="zh-CN" w:eastAsia="zh-CN"/>
        </w:rPr>
        <w:t>坚持以习近平新时代中国特色社会主义思想为指导，深刻领悟</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两个确立</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的决定性意义，增强</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四个意识</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、坚定</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四个自信</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、做到</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两个维护</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，坚定贯彻习近平法治思想和总体国家安全观，围绕推进政法工作现代化这个最大的政治，坚持和加强党对政法工作的绝对领导，统筹高质量发展和高水平安全，坚持以</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一二三四五</w:t>
      </w:r>
      <w:r>
        <w:rPr>
          <w:rFonts w:hint="default"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eastAsia="zh-CN"/>
        </w:rPr>
        <w:t>工作思路为统揽，忠诚履行维护国家政治安全、确保社会大局稳定、服务经济发展大局、促进社会公平正义、保障人民安居乐业的职责使命，加快建设更高水平的平安自贡、法治自贡，为推动新时代自贡高质量跨越发展提供坚强有力的政法保障。</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sz w:val="32"/>
          <w:szCs w:val="32"/>
          <w:lang w:val="en-US" w:eastAsia="zh-CN"/>
        </w:rPr>
        <w:t>1.</w:t>
      </w:r>
      <w:r>
        <w:rPr>
          <w:rFonts w:hint="eastAsia" w:ascii="楷体_GB2312" w:hAnsi="楷体_GB2312" w:eastAsia="楷体_GB2312" w:cs="楷体_GB2312"/>
          <w:b/>
          <w:bCs/>
          <w:sz w:val="32"/>
          <w:szCs w:val="32"/>
          <w:lang w:val="en-US" w:eastAsia="zh-CN"/>
        </w:rPr>
        <w:t>毫不动摇坚持</w:t>
      </w:r>
      <w:r>
        <w:rPr>
          <w:rFonts w:hint="eastAsia" w:ascii="仿宋_GB2312" w:hAnsi="仿宋_GB2312" w:eastAsia="仿宋_GB2312" w:cs="仿宋_GB2312"/>
          <w:b/>
          <w:bCs/>
          <w:sz w:val="32"/>
          <w:szCs w:val="32"/>
          <w:lang w:val="en-US" w:eastAsia="zh-CN"/>
        </w:rPr>
        <w:t>“</w:t>
      </w:r>
      <w:r>
        <w:rPr>
          <w:rFonts w:hint="eastAsia" w:ascii="楷体_GB2312" w:hAnsi="楷体_GB2312" w:eastAsia="楷体_GB2312" w:cs="楷体_GB2312"/>
          <w:b/>
          <w:bCs/>
          <w:sz w:val="32"/>
          <w:szCs w:val="32"/>
          <w:lang w:val="en-US" w:eastAsia="zh-CN"/>
        </w:rPr>
        <w:t>政法姓党</w:t>
      </w:r>
      <w:r>
        <w:rPr>
          <w:rFonts w:hint="eastAsia" w:ascii="仿宋_GB2312" w:hAnsi="仿宋_GB2312" w:eastAsia="仿宋_GB2312" w:cs="仿宋_GB2312"/>
          <w:b/>
          <w:bCs/>
          <w:sz w:val="32"/>
          <w:szCs w:val="32"/>
          <w:lang w:val="en-US" w:eastAsia="zh-CN"/>
        </w:rPr>
        <w:t>”</w:t>
      </w:r>
      <w:r>
        <w:rPr>
          <w:rFonts w:hint="eastAsia" w:ascii="楷体_GB2312" w:hAnsi="楷体_GB2312" w:eastAsia="楷体_GB2312" w:cs="楷体_GB2312"/>
          <w:b/>
          <w:bCs/>
          <w:sz w:val="32"/>
          <w:szCs w:val="32"/>
          <w:lang w:val="en-US" w:eastAsia="zh-CN"/>
        </w:rPr>
        <w:t>。</w:t>
      </w:r>
      <w:r>
        <w:rPr>
          <w:rFonts w:hint="eastAsia" w:ascii="仿宋_GB2312" w:hAnsi="仿宋_GB2312" w:eastAsia="仿宋_GB2312" w:cs="仿宋_GB2312"/>
          <w:sz w:val="32"/>
          <w:szCs w:val="32"/>
          <w:lang w:val="en-US" w:eastAsia="zh-CN"/>
        </w:rPr>
        <w:t>严格落实“第一议题”制度，坚定不移捍卫“两个确立”、坚决做到“两个维护”。深入贯彻落实《政法工作条例》及我省《实施细则》，严格执行重大事项请示报告，健全完善政治督察、纪律作风督查巡查和执法监督“三查联动”机制，推动党的绝对领导贯穿到政法机关政治、思想、组织建设的各方面，落实到政法工作决策、执行、监督的全过程。</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sz w:val="32"/>
          <w:szCs w:val="32"/>
          <w:lang w:val="en-US" w:eastAsia="zh-CN"/>
        </w:rPr>
        <w:t>2.</w:t>
      </w:r>
      <w:r>
        <w:rPr>
          <w:rFonts w:hint="eastAsia" w:ascii="楷体_GB2312" w:hAnsi="楷体_GB2312" w:eastAsia="楷体_GB2312" w:cs="楷体_GB2312"/>
          <w:b/>
          <w:bCs/>
          <w:sz w:val="32"/>
          <w:szCs w:val="32"/>
          <w:lang w:val="en-US" w:eastAsia="zh-CN"/>
        </w:rPr>
        <w:t>严守政治社会安全稳定底线。</w:t>
      </w:r>
      <w:r>
        <w:rPr>
          <w:rFonts w:hint="eastAsia" w:ascii="仿宋_GB2312" w:hAnsi="仿宋_GB2312" w:eastAsia="仿宋_GB2312" w:cs="仿宋_GB2312"/>
          <w:b w:val="0"/>
          <w:bCs w:val="0"/>
          <w:sz w:val="32"/>
          <w:szCs w:val="32"/>
          <w:lang w:val="en-US" w:eastAsia="zh-CN"/>
        </w:rPr>
        <w:t>全</w:t>
      </w:r>
      <w:r>
        <w:rPr>
          <w:rFonts w:hint="eastAsia" w:ascii="仿宋_GB2312" w:hAnsi="仿宋_GB2312" w:eastAsia="仿宋_GB2312" w:cs="仿宋_GB2312"/>
          <w:sz w:val="32"/>
          <w:szCs w:val="32"/>
          <w:lang w:val="en-US" w:eastAsia="zh-CN"/>
        </w:rPr>
        <w:t>面贯彻总体国家安全观，扎实筑牢安全屏障</w:t>
      </w:r>
      <w:r>
        <w:rPr>
          <w:rFonts w:hint="eastAsia" w:ascii="仿宋_GB2312" w:hAnsi="仿宋_GB2312" w:eastAsia="仿宋_GB2312" w:cs="仿宋_GB2312"/>
          <w:sz w:val="32"/>
          <w:szCs w:val="32"/>
          <w:lang w:eastAsia="zh-CN"/>
        </w:rPr>
        <w:t>。严格落实社会稳定风险评估制度，盯紧重点领域风险矛盾，着力减存量、控增量、防突变，严防风险隐患发酵升级。加强矛盾规律分析、梳理风险传导链条，</w:t>
      </w:r>
      <w:r>
        <w:rPr>
          <w:rFonts w:hint="eastAsia" w:ascii="仿宋_GB2312" w:hAnsi="仿宋_GB2312" w:eastAsia="仿宋_GB2312" w:cs="仿宋_GB2312"/>
          <w:sz w:val="32"/>
          <w:szCs w:val="32"/>
          <w:lang w:val="en-US" w:eastAsia="zh-CN"/>
        </w:rPr>
        <w:t>深化隐患排查、形势研判、风险检测等制度机制，</w:t>
      </w:r>
      <w:r>
        <w:rPr>
          <w:rFonts w:hint="eastAsia" w:ascii="仿宋_GB2312" w:hAnsi="仿宋_GB2312" w:eastAsia="仿宋_GB2312" w:cs="仿宋_GB2312"/>
          <w:sz w:val="32"/>
          <w:szCs w:val="32"/>
        </w:rPr>
        <w:t>强化特殊利益群体和重点人员教育稳控，</w:t>
      </w:r>
      <w:r>
        <w:rPr>
          <w:rFonts w:hint="eastAsia" w:ascii="仿宋_GB2312" w:hAnsi="仿宋_GB2312" w:eastAsia="仿宋_GB2312" w:cs="仿宋_GB2312"/>
          <w:sz w:val="32"/>
          <w:szCs w:val="32"/>
          <w:lang w:val="en-US" w:eastAsia="zh-CN"/>
        </w:rPr>
        <w:t>推动各方面各层面抓先手、防源头、强稳控，扎实</w:t>
      </w:r>
      <w:r>
        <w:rPr>
          <w:rFonts w:hint="eastAsia" w:ascii="仿宋_GB2312" w:hAnsi="仿宋_GB2312" w:eastAsia="仿宋_GB2312" w:cs="仿宋_GB2312"/>
          <w:sz w:val="32"/>
          <w:szCs w:val="32"/>
          <w:lang w:eastAsia="zh-CN"/>
        </w:rPr>
        <w:t>筑牢安全稳定防线。</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sz w:val="32"/>
          <w:szCs w:val="32"/>
          <w:lang w:val="en-US" w:eastAsia="zh-CN"/>
        </w:rPr>
        <w:t>3.</w:t>
      </w:r>
      <w:r>
        <w:rPr>
          <w:rFonts w:hint="eastAsia" w:ascii="楷体_GB2312" w:hAnsi="楷体_GB2312" w:eastAsia="楷体_GB2312" w:cs="楷体_GB2312"/>
          <w:b/>
          <w:bCs/>
          <w:sz w:val="32"/>
          <w:szCs w:val="32"/>
          <w:lang w:val="en-US" w:eastAsia="zh-CN"/>
        </w:rPr>
        <w:t>持续深入推进平安自贡建设。</w:t>
      </w:r>
      <w:r>
        <w:rPr>
          <w:rFonts w:hint="eastAsia" w:ascii="仿宋_GB2312" w:hAnsi="仿宋_GB2312" w:eastAsia="仿宋_GB2312" w:cs="仿宋_GB2312"/>
          <w:sz w:val="32"/>
          <w:szCs w:val="32"/>
          <w:lang w:val="en-US" w:eastAsia="zh-CN"/>
        </w:rPr>
        <w:t>全面对标党中央和省委决策部署，坚持和发展新时代“枫桥经验”，健全完善矛盾纠纷多元化解制度，持续提升综治中心综合战力，做实做细网格化服务管理工作，</w:t>
      </w:r>
      <w:r>
        <w:rPr>
          <w:rFonts w:hint="eastAsia" w:ascii="仿宋_GB2312" w:hAnsi="仿宋_GB2312" w:eastAsia="仿宋_GB2312" w:cs="仿宋_GB2312"/>
          <w:sz w:val="32"/>
          <w:szCs w:val="32"/>
          <w:lang w:eastAsia="zh-CN"/>
        </w:rPr>
        <w:t>深化超大小区基层社会治理，用好群防群治力量，</w:t>
      </w:r>
      <w:r>
        <w:rPr>
          <w:rFonts w:hint="eastAsia" w:ascii="仿宋_GB2312" w:hAnsi="仿宋_GB2312" w:eastAsia="仿宋_GB2312" w:cs="仿宋_GB2312"/>
          <w:sz w:val="32"/>
          <w:szCs w:val="32"/>
          <w:lang w:val="en-US" w:eastAsia="zh-CN"/>
        </w:rPr>
        <w:t>统筹推动政法力量资源向基层一线倾斜下沉，持续夯实平安自贡基层基础。纵深推进</w:t>
      </w:r>
      <w:r>
        <w:rPr>
          <w:rFonts w:hint="eastAsia" w:ascii="仿宋_GB2312" w:hAnsi="仿宋_GB2312" w:eastAsia="仿宋_GB2312" w:cs="仿宋_GB2312"/>
          <w:sz w:val="32"/>
          <w:szCs w:val="32"/>
          <w:rtl w:val="0"/>
          <w:lang w:val="en-US" w:eastAsia="zh-CN"/>
        </w:rPr>
        <w:t>常态化扫黑除恶斗争，深入推进打击整治侵害未成年人违法犯罪专项行动</w:t>
      </w:r>
      <w:r>
        <w:rPr>
          <w:rFonts w:hint="eastAsia" w:ascii="仿宋_GB2312" w:hAnsi="仿宋_GB2312" w:eastAsia="仿宋_GB2312" w:cs="仿宋_GB2312"/>
          <w:sz w:val="32"/>
          <w:szCs w:val="32"/>
          <w:lang w:val="en-US" w:eastAsia="zh-CN"/>
        </w:rPr>
        <w:t>，加强重点人群服务管理，加快</w:t>
      </w:r>
      <w:r>
        <w:rPr>
          <w:rFonts w:hint="eastAsia" w:ascii="仿宋_GB2312" w:hAnsi="仿宋_GB2312" w:eastAsia="仿宋_GB2312" w:cs="仿宋_GB2312"/>
          <w:sz w:val="32"/>
          <w:szCs w:val="32"/>
        </w:rPr>
        <w:t>建设更高水平</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平安自贡。</w:t>
      </w:r>
    </w:p>
    <w:p>
      <w:pPr>
        <w:keepNext w:val="0"/>
        <w:keepLines w:val="0"/>
        <w:pageBreakBefore w:val="0"/>
        <w:widowControl w:val="0"/>
        <w:kinsoku/>
        <w:wordWrap/>
        <w:overflowPunct/>
        <w:topLinePunct w:val="0"/>
        <w:autoSpaceDE/>
        <w:autoSpaceDN/>
        <w:bidi w:val="0"/>
        <w:adjustRightInd/>
        <w:snapToGrid/>
        <w:spacing w:beforeLines="0" w:afterLines="0"/>
        <w:ind w:left="0" w:firstLine="643" w:firstLineChars="200"/>
        <w:jc w:val="left"/>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b/>
          <w:bCs/>
          <w:sz w:val="32"/>
          <w:szCs w:val="32"/>
          <w:lang w:val="en-US" w:eastAsia="zh-CN"/>
        </w:rPr>
        <w:t>4.</w:t>
      </w:r>
      <w:r>
        <w:rPr>
          <w:rFonts w:hint="eastAsia" w:ascii="楷体_GB2312" w:hAnsi="楷体_GB2312" w:eastAsia="楷体_GB2312" w:cs="楷体_GB2312"/>
          <w:b/>
          <w:bCs/>
          <w:sz w:val="32"/>
          <w:szCs w:val="32"/>
          <w:lang w:val="en-US" w:eastAsia="zh-CN"/>
        </w:rPr>
        <w:t>积极围绕中心服务发展大局</w:t>
      </w:r>
      <w:r>
        <w:rPr>
          <w:rFonts w:hint="eastAsia" w:ascii="楷体_GB2312" w:hAnsi="楷体_GB2312" w:eastAsia="楷体_GB2312" w:cs="楷体_GB2312"/>
          <w:b/>
          <w:bCs/>
          <w:smallCaps w:val="0"/>
          <w:snapToGrid/>
          <w:color w:val="auto"/>
          <w:spacing w:val="0"/>
          <w:kern w:val="2"/>
          <w:sz w:val="32"/>
          <w:szCs w:val="32"/>
          <w:lang w:val="en-US" w:eastAsia="zh-CN" w:bidi="ar-SA"/>
        </w:rPr>
        <w:t>。</w:t>
      </w:r>
      <w:r>
        <w:rPr>
          <w:rFonts w:hint="eastAsia" w:ascii="仿宋_GB2312" w:hAnsi="仿宋_GB2312" w:eastAsia="仿宋_GB2312" w:cs="仿宋_GB2312"/>
          <w:smallCaps w:val="0"/>
          <w:snapToGrid/>
          <w:color w:val="auto"/>
          <w:spacing w:val="0"/>
          <w:kern w:val="2"/>
          <w:sz w:val="32"/>
          <w:szCs w:val="32"/>
          <w:highlight w:val="none"/>
          <w:u w:val="none"/>
          <w:lang w:val="en-US" w:eastAsia="zh-CN" w:bidi="ar-SA"/>
        </w:rPr>
        <w:t>坚持</w:t>
      </w:r>
      <w:r>
        <w:rPr>
          <w:rFonts w:hint="eastAsia" w:ascii="仿宋_GB2312" w:hAnsi="仿宋_GB2312" w:eastAsia="仿宋_GB2312" w:cs="仿宋_GB2312"/>
          <w:smallCaps w:val="0"/>
          <w:snapToGrid/>
          <w:color w:val="auto"/>
          <w:spacing w:val="0"/>
          <w:kern w:val="2"/>
          <w:sz w:val="32"/>
          <w:szCs w:val="32"/>
          <w:lang w:eastAsia="zh-CN"/>
        </w:rPr>
        <w:t>以服务成渝地区双城经济圈建设国家战略为牵引，</w:t>
      </w:r>
      <w:r>
        <w:rPr>
          <w:rFonts w:hint="eastAsia" w:ascii="仿宋_GB2312" w:hAnsi="仿宋_GB2312" w:eastAsia="仿宋_GB2312" w:cs="仿宋_GB2312"/>
          <w:smallCaps w:val="0"/>
          <w:snapToGrid/>
          <w:color w:val="auto"/>
          <w:spacing w:val="0"/>
          <w:kern w:val="2"/>
          <w:sz w:val="32"/>
          <w:szCs w:val="32"/>
          <w:lang w:val="zh-CN" w:eastAsia="zh-CN"/>
        </w:rPr>
        <w:t>严格落实</w:t>
      </w:r>
      <w:r>
        <w:rPr>
          <w:rFonts w:hint="default" w:ascii="仿宋_GB2312" w:hAnsi="仿宋_GB2312" w:eastAsia="仿宋_GB2312" w:cs="仿宋_GB2312"/>
          <w:smallCaps w:val="0"/>
          <w:snapToGrid/>
          <w:color w:val="auto"/>
          <w:spacing w:val="0"/>
          <w:kern w:val="2"/>
          <w:sz w:val="32"/>
          <w:szCs w:val="32"/>
          <w:lang w:val="zh-CN" w:eastAsia="zh-CN"/>
        </w:rPr>
        <w:t>“</w:t>
      </w:r>
      <w:r>
        <w:rPr>
          <w:rFonts w:hint="eastAsia" w:ascii="仿宋_GB2312" w:hAnsi="仿宋_GB2312" w:eastAsia="仿宋_GB2312" w:cs="仿宋_GB2312"/>
          <w:smallCaps w:val="0"/>
          <w:snapToGrid/>
          <w:color w:val="auto"/>
          <w:spacing w:val="0"/>
          <w:kern w:val="2"/>
          <w:sz w:val="32"/>
          <w:szCs w:val="32"/>
          <w:lang w:val="zh-CN" w:eastAsia="zh-CN"/>
        </w:rPr>
        <w:t>营造法治化营商环境提升年</w:t>
      </w:r>
      <w:r>
        <w:rPr>
          <w:rFonts w:hint="default" w:ascii="仿宋_GB2312" w:hAnsi="仿宋_GB2312" w:eastAsia="仿宋_GB2312" w:cs="仿宋_GB2312"/>
          <w:smallCaps w:val="0"/>
          <w:snapToGrid/>
          <w:color w:val="auto"/>
          <w:spacing w:val="0"/>
          <w:kern w:val="2"/>
          <w:sz w:val="32"/>
          <w:szCs w:val="32"/>
          <w:lang w:val="zh-CN" w:eastAsia="zh-CN"/>
        </w:rPr>
        <w:t>”</w:t>
      </w:r>
      <w:r>
        <w:rPr>
          <w:rFonts w:hint="eastAsia" w:ascii="仿宋_GB2312" w:hAnsi="仿宋_GB2312" w:eastAsia="仿宋_GB2312" w:cs="仿宋_GB2312"/>
          <w:smallCaps w:val="0"/>
          <w:snapToGrid/>
          <w:color w:val="auto"/>
          <w:spacing w:val="0"/>
          <w:kern w:val="2"/>
          <w:sz w:val="32"/>
          <w:szCs w:val="32"/>
          <w:lang w:val="zh-CN" w:eastAsia="zh-CN"/>
        </w:rPr>
        <w:t>工作部署，</w:t>
      </w:r>
      <w:r>
        <w:rPr>
          <w:rFonts w:hint="eastAsia" w:ascii="仿宋_GB2312" w:hAnsi="仿宋_GB2312" w:eastAsia="仿宋_GB2312" w:cs="仿宋_GB2312"/>
          <w:smallCaps w:val="0"/>
          <w:snapToGrid/>
          <w:color w:val="auto"/>
          <w:spacing w:val="0"/>
          <w:kern w:val="2"/>
          <w:sz w:val="32"/>
          <w:szCs w:val="32"/>
          <w:lang w:eastAsia="zh-CN"/>
        </w:rPr>
        <w:t>加强重大项目法律服务，深化拓展跨区域政法务实合作</w:t>
      </w:r>
      <w:r>
        <w:rPr>
          <w:rFonts w:hint="eastAsia" w:ascii="仿宋_GB2312" w:hAnsi="仿宋_GB2312" w:eastAsia="仿宋_GB2312" w:cs="仿宋_GB2312"/>
          <w:smallCaps w:val="0"/>
          <w:snapToGrid/>
          <w:color w:val="auto"/>
          <w:spacing w:val="0"/>
          <w:kern w:val="2"/>
          <w:sz w:val="32"/>
          <w:szCs w:val="32"/>
          <w:lang w:val="en-US" w:eastAsia="zh-CN"/>
        </w:rPr>
        <w:t>，加强政法系统跨部门办案平台建设应用，持续推进涉案企业合规改革，</w:t>
      </w:r>
      <w:r>
        <w:rPr>
          <w:rFonts w:hint="eastAsia" w:ascii="仿宋_GB2312" w:hAnsi="仿宋_GB2312" w:eastAsia="仿宋_GB2312" w:cs="仿宋_GB2312"/>
          <w:b w:val="0"/>
          <w:bCs w:val="0"/>
          <w:snapToGrid/>
          <w:color w:val="auto"/>
          <w:spacing w:val="0"/>
          <w:kern w:val="2"/>
          <w:sz w:val="32"/>
          <w:szCs w:val="32"/>
          <w:lang w:eastAsia="zh-CN"/>
        </w:rPr>
        <w:t>健全完善全市法务中心建设运行机制，高标准建设运行高新区法务中心</w:t>
      </w:r>
      <w:r>
        <w:rPr>
          <w:rFonts w:hint="eastAsia" w:ascii="仿宋_GB2312" w:hAnsi="仿宋_GB2312" w:eastAsia="仿宋_GB2312" w:cs="仿宋_GB2312"/>
          <w:b w:val="0"/>
          <w:bCs/>
          <w:snapToGrid/>
          <w:color w:val="auto"/>
          <w:spacing w:val="0"/>
          <w:kern w:val="2"/>
          <w:sz w:val="32"/>
          <w:szCs w:val="32"/>
          <w:lang w:val="en-US" w:eastAsia="zh-CN"/>
        </w:rPr>
        <w:t>，</w:t>
      </w:r>
      <w:r>
        <w:rPr>
          <w:rFonts w:hint="eastAsia" w:ascii="仿宋_GB2312" w:hAnsi="仿宋_GB2312" w:eastAsia="仿宋_GB2312" w:cs="仿宋_GB2312"/>
          <w:snapToGrid/>
          <w:color w:val="auto"/>
          <w:spacing w:val="0"/>
          <w:kern w:val="2"/>
          <w:sz w:val="32"/>
          <w:szCs w:val="32"/>
          <w:lang w:val="en-US" w:eastAsia="zh-CN"/>
        </w:rPr>
        <w:t>积极构建</w:t>
      </w:r>
      <w:r>
        <w:rPr>
          <w:rFonts w:hint="eastAsia" w:ascii="仿宋_GB2312" w:hAnsi="仿宋_GB2312" w:eastAsia="仿宋_GB2312" w:cs="仿宋_GB2312"/>
          <w:bCs/>
          <w:snapToGrid/>
          <w:color w:val="auto"/>
          <w:spacing w:val="0"/>
          <w:kern w:val="2"/>
          <w:sz w:val="32"/>
          <w:szCs w:val="32"/>
          <w:u w:val="none"/>
          <w:lang w:val="en-US" w:eastAsia="zh-CN" w:bidi="ar-SA"/>
        </w:rPr>
        <w:t>多元服务法治环境体系，</w:t>
      </w:r>
      <w:r>
        <w:rPr>
          <w:rFonts w:hint="eastAsia" w:ascii="仿宋_GB2312" w:hAnsi="仿宋_GB2312" w:eastAsia="仿宋_GB2312" w:cs="仿宋_GB2312"/>
          <w:smallCaps w:val="0"/>
          <w:snapToGrid/>
          <w:color w:val="auto"/>
          <w:spacing w:val="0"/>
          <w:kern w:val="2"/>
          <w:sz w:val="32"/>
          <w:szCs w:val="32"/>
          <w:highlight w:val="none"/>
          <w:u w:val="none"/>
          <w:lang w:eastAsia="zh-CN"/>
        </w:rPr>
        <w:t>推动</w:t>
      </w:r>
      <w:r>
        <w:rPr>
          <w:rFonts w:hint="eastAsia" w:ascii="仿宋_GB2312" w:hAnsi="仿宋_GB2312" w:eastAsia="仿宋_GB2312" w:cs="仿宋_GB2312"/>
          <w:smallCaps w:val="0"/>
          <w:snapToGrid/>
          <w:color w:val="auto"/>
          <w:spacing w:val="0"/>
          <w:kern w:val="2"/>
          <w:sz w:val="32"/>
          <w:szCs w:val="32"/>
          <w:highlight w:val="none"/>
          <w:u w:val="none"/>
        </w:rPr>
        <w:t>“办理破产”“执行合同”两项指标</w:t>
      </w:r>
      <w:r>
        <w:rPr>
          <w:rFonts w:hint="eastAsia" w:ascii="仿宋_GB2312" w:hAnsi="仿宋_GB2312" w:eastAsia="仿宋_GB2312" w:cs="仿宋_GB2312"/>
          <w:smallCaps w:val="0"/>
          <w:snapToGrid/>
          <w:color w:val="auto"/>
          <w:spacing w:val="0"/>
          <w:kern w:val="2"/>
          <w:sz w:val="32"/>
          <w:szCs w:val="32"/>
          <w:highlight w:val="none"/>
          <w:u w:val="none"/>
          <w:lang w:eastAsia="zh-CN"/>
        </w:rPr>
        <w:t>持续</w:t>
      </w:r>
      <w:r>
        <w:rPr>
          <w:rFonts w:hint="eastAsia" w:ascii="仿宋_GB2312" w:hAnsi="仿宋_GB2312" w:eastAsia="仿宋_GB2312" w:cs="仿宋_GB2312"/>
          <w:smallCaps w:val="0"/>
          <w:snapToGrid/>
          <w:color w:val="auto"/>
          <w:spacing w:val="0"/>
          <w:kern w:val="2"/>
          <w:sz w:val="32"/>
          <w:szCs w:val="32"/>
          <w:highlight w:val="none"/>
          <w:u w:val="none"/>
        </w:rPr>
        <w:t>走在全省前列</w:t>
      </w:r>
      <w:r>
        <w:rPr>
          <w:rFonts w:hint="eastAsia" w:ascii="仿宋_GB2312" w:hAnsi="仿宋_GB2312" w:eastAsia="仿宋_GB2312" w:cs="仿宋_GB2312"/>
          <w:b w:val="0"/>
          <w:bCs w:val="0"/>
          <w:snapToGrid/>
          <w:color w:val="auto"/>
          <w:spacing w:val="0"/>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b/>
          <w:bCs/>
          <w:sz w:val="32"/>
          <w:szCs w:val="32"/>
          <w:lang w:val="en-US" w:eastAsia="zh-CN"/>
        </w:rPr>
        <w:t>5.</w:t>
      </w:r>
      <w:r>
        <w:rPr>
          <w:rFonts w:hint="eastAsia" w:ascii="楷体_GB2312" w:hAnsi="楷体_GB2312" w:eastAsia="楷体_GB2312" w:cs="楷体_GB2312"/>
          <w:b/>
          <w:bCs/>
          <w:sz w:val="32"/>
          <w:szCs w:val="32"/>
          <w:lang w:val="en-US" w:eastAsia="zh-CN"/>
        </w:rPr>
        <w:t>坚定不移推进</w:t>
      </w:r>
      <w:r>
        <w:rPr>
          <w:rFonts w:hint="eastAsia" w:ascii="楷体_GB2312" w:hAnsi="楷体_GB2312" w:eastAsia="楷体_GB2312" w:cs="楷体_GB2312"/>
          <w:b/>
          <w:bCs/>
          <w:smallCaps w:val="0"/>
          <w:snapToGrid/>
          <w:color w:val="auto"/>
          <w:spacing w:val="0"/>
          <w:kern w:val="2"/>
          <w:sz w:val="32"/>
          <w:szCs w:val="32"/>
          <w:lang w:val="en-US" w:eastAsia="zh-CN" w:bidi="ar-SA"/>
        </w:rPr>
        <w:t>从严管党治警。</w:t>
      </w:r>
      <w:r>
        <w:rPr>
          <w:rFonts w:hint="eastAsia" w:ascii="仿宋_GB2312" w:hAnsi="仿宋_GB2312" w:eastAsia="仿宋_GB2312" w:cs="仿宋_GB2312"/>
          <w:smallCaps w:val="0"/>
          <w:snapToGrid/>
          <w:color w:val="auto"/>
          <w:spacing w:val="0"/>
          <w:kern w:val="2"/>
          <w:sz w:val="32"/>
          <w:szCs w:val="32"/>
          <w:lang w:val="zh-CN" w:eastAsia="zh-CN"/>
        </w:rPr>
        <w:t>不断巩固拓展学习贯彻习近平新时代中国特色社会主义思想主题教育成果，健全以学铸魂、以学增智、以学正风、以学促干的长效机制</w:t>
      </w:r>
      <w:r>
        <w:rPr>
          <w:rFonts w:hint="eastAsia" w:ascii="仿宋_GB2312" w:hAnsi="仿宋_GB2312" w:eastAsia="仿宋_GB2312" w:cs="仿宋_GB2312"/>
          <w:smallCaps w:val="0"/>
          <w:snapToGrid/>
          <w:color w:val="auto"/>
          <w:spacing w:val="0"/>
          <w:kern w:val="2"/>
          <w:sz w:val="32"/>
          <w:szCs w:val="32"/>
          <w:lang w:val="en-US" w:eastAsia="zh-CN"/>
        </w:rPr>
        <w:t>,严格落实政法单位党组（党委）全面从严管党治警主体责任，不断完善执法司法制约监督体系</w:t>
      </w:r>
      <w:r>
        <w:rPr>
          <w:rFonts w:hint="eastAsia" w:ascii="仿宋_GB2312" w:hAnsi="仿宋_GB2312" w:eastAsia="仿宋_GB2312" w:cs="仿宋_GB2312"/>
          <w:snapToGrid/>
          <w:color w:val="auto"/>
          <w:spacing w:val="0"/>
          <w:kern w:val="2"/>
          <w:sz w:val="32"/>
          <w:szCs w:val="32"/>
          <w:lang w:eastAsia="zh-CN"/>
        </w:rPr>
        <w:t>，</w:t>
      </w:r>
      <w:r>
        <w:rPr>
          <w:rFonts w:hint="eastAsia" w:ascii="仿宋_GB2312" w:hAnsi="仿宋_GB2312" w:eastAsia="仿宋_GB2312" w:cs="仿宋_GB2312"/>
          <w:snapToGrid/>
          <w:color w:val="auto"/>
          <w:spacing w:val="0"/>
          <w:kern w:val="2"/>
          <w:sz w:val="32"/>
          <w:szCs w:val="32"/>
          <w:lang w:val="en-US" w:eastAsia="zh-CN"/>
        </w:rPr>
        <w:t>常态化</w:t>
      </w:r>
      <w:r>
        <w:rPr>
          <w:rFonts w:hint="eastAsia" w:ascii="仿宋_GB2312" w:hAnsi="仿宋_GB2312" w:eastAsia="仿宋_GB2312" w:cs="仿宋_GB2312"/>
          <w:snapToGrid/>
          <w:color w:val="auto"/>
          <w:spacing w:val="0"/>
          <w:kern w:val="2"/>
          <w:sz w:val="32"/>
          <w:szCs w:val="32"/>
          <w:lang w:eastAsia="zh-CN"/>
        </w:rPr>
        <w:t>开展警示</w:t>
      </w:r>
      <w:bookmarkEnd w:id="5"/>
      <w:r>
        <w:rPr>
          <w:rFonts w:hint="eastAsia" w:ascii="仿宋_GB2312" w:hAnsi="仿宋_GB2312" w:eastAsia="仿宋_GB2312" w:cs="仿宋_GB2312"/>
          <w:sz w:val="32"/>
          <w:szCs w:val="32"/>
        </w:rPr>
        <w:t>教育，持续维护政法队伍肌体健康。</w:t>
      </w:r>
      <w:r>
        <w:rPr>
          <w:rFonts w:hint="eastAsia" w:ascii="仿宋_GB2312" w:hAnsi="仿宋_GB2312" w:eastAsia="仿宋_GB2312" w:cs="仿宋_GB2312"/>
          <w:sz w:val="32"/>
          <w:szCs w:val="32"/>
          <w:lang w:val="zh-CN"/>
        </w:rPr>
        <w:t>深入打造学习型、创新型、先进型、活力型、团结型</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五型机关</w:t>
      </w:r>
      <w:r>
        <w:rPr>
          <w:rFonts w:hint="default"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，以一流机关建设为大局服务、为法治担当、为发展护航。</w:t>
      </w:r>
      <w:r>
        <w:rPr>
          <w:rFonts w:hint="eastAsia" w:ascii="仿宋_GB2312" w:hAnsi="仿宋_GB2312" w:eastAsia="仿宋_GB2312" w:cs="仿宋_GB2312"/>
          <w:sz w:val="32"/>
          <w:szCs w:val="32"/>
        </w:rPr>
        <w:t>健全完善年轻干部“选育管用”全链条机制，用好用活全市政法系统年轻干部人才库，搭建年轻干部梯次培养体系，确保政法事业后继有人、青蓝相继。</w:t>
      </w:r>
    </w:p>
    <w:p>
      <w:pPr>
        <w:pStyle w:val="4"/>
        <w:pageBreakBefore w:val="0"/>
        <w:widowControl w:val="0"/>
        <w:kinsoku/>
        <w:wordWrap/>
        <w:overflowPunct/>
        <w:topLinePunct w:val="0"/>
        <w:bidi w:val="0"/>
        <w:spacing w:line="580" w:lineRule="exact"/>
        <w:ind w:firstLine="640" w:firstLineChars="200"/>
        <w:textAlignment w:val="auto"/>
        <w:rPr>
          <w:rFonts w:hint="eastAsia" w:ascii="黑体" w:hAnsi="Times New Roman" w:eastAsia="黑体" w:cs="Times New Roman"/>
          <w:b w:val="0"/>
          <w:bCs w:val="0"/>
          <w:sz w:val="32"/>
          <w:szCs w:val="32"/>
        </w:rPr>
      </w:pPr>
      <w:r>
        <w:rPr>
          <w:rFonts w:hint="eastAsia" w:ascii="黑体" w:hAnsi="Times New Roman" w:eastAsia="黑体" w:cs="Times New Roman"/>
          <w:b w:val="0"/>
          <w:bCs w:val="0"/>
          <w:sz w:val="32"/>
          <w:szCs w:val="32"/>
        </w:rPr>
        <w:t>二、部门概况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中共自贡市委政法委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部门下属二级预算单位</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个，其中行政单位</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个，其他事业单位</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个。主要包括：中共自贡市委政法委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、自贡市法学会。</w:t>
      </w:r>
    </w:p>
    <w:p>
      <w:pPr>
        <w:pStyle w:val="4"/>
        <w:pageBreakBefore w:val="0"/>
        <w:widowControl w:val="0"/>
        <w:kinsoku/>
        <w:wordWrap/>
        <w:overflowPunct/>
        <w:topLinePunct w:val="0"/>
        <w:bidi w:val="0"/>
        <w:spacing w:line="580" w:lineRule="exact"/>
        <w:ind w:firstLine="640" w:firstLineChars="200"/>
        <w:textAlignment w:val="auto"/>
        <w:rPr>
          <w:rFonts w:hint="eastAsia" w:ascii="黑体" w:hAnsi="Times New Roman" w:eastAsia="黑体" w:cs="Times New Roman"/>
          <w:b w:val="0"/>
          <w:bCs w:val="0"/>
          <w:sz w:val="32"/>
          <w:szCs w:val="32"/>
        </w:rPr>
      </w:pPr>
      <w:r>
        <w:rPr>
          <w:rFonts w:hint="eastAsia" w:ascii="黑体" w:hAnsi="Times New Roman" w:eastAsia="黑体" w:cs="Times New Roman"/>
          <w:b w:val="0"/>
          <w:bCs w:val="0"/>
          <w:sz w:val="32"/>
          <w:szCs w:val="32"/>
        </w:rPr>
        <w:t>三、收支预算情况说明</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按照综合预算的原则，</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sz w:val="32"/>
          <w:szCs w:val="32"/>
          <w:lang w:eastAsia="zh-CN"/>
        </w:rPr>
        <w:t>员会</w:t>
      </w:r>
      <w:r>
        <w:rPr>
          <w:rFonts w:hint="eastAsia" w:ascii="仿宋_GB2312" w:eastAsia="仿宋_GB2312"/>
          <w:color w:val="auto"/>
          <w:sz w:val="32"/>
          <w:szCs w:val="32"/>
          <w:lang w:eastAsia="zh-CN"/>
        </w:rPr>
        <w:t>部门</w:t>
      </w:r>
      <w:r>
        <w:rPr>
          <w:rFonts w:hint="eastAsia" w:ascii="仿宋_GB2312" w:eastAsia="仿宋_GB2312"/>
          <w:color w:val="auto"/>
          <w:sz w:val="32"/>
          <w:szCs w:val="32"/>
        </w:rPr>
        <w:t>所有收入和支出均纳入部门预算管理。收入包括：一般公共预算拨款收入；支出包括：</w:t>
      </w:r>
      <w:r>
        <w:rPr>
          <w:rFonts w:hint="eastAsia" w:ascii="仿宋_GB2312" w:eastAsia="仿宋_GB2312"/>
          <w:color w:val="auto"/>
          <w:sz w:val="32"/>
          <w:szCs w:val="32"/>
          <w:lang w:eastAsia="zh-CN"/>
        </w:rPr>
        <w:t>公共安全</w:t>
      </w:r>
      <w:r>
        <w:rPr>
          <w:rFonts w:hint="eastAsia" w:ascii="仿宋_GB2312" w:eastAsia="仿宋_GB2312"/>
          <w:color w:val="auto"/>
          <w:sz w:val="32"/>
          <w:szCs w:val="32"/>
        </w:rPr>
        <w:t>支出、社会保障和就业支出、卫生健康支出、住房保障支出。</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sz w:val="32"/>
          <w:szCs w:val="32"/>
          <w:lang w:eastAsia="zh-CN"/>
        </w:rPr>
        <w:t>员会</w:t>
      </w:r>
      <w:r>
        <w:rPr>
          <w:rFonts w:hint="eastAsia" w:ascii="仿宋_GB2312" w:eastAsia="仿宋_GB2312"/>
          <w:color w:val="auto"/>
          <w:sz w:val="32"/>
          <w:szCs w:val="32"/>
          <w:lang w:eastAsia="zh-CN"/>
        </w:rPr>
        <w:t>部门</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eastAsia" w:ascii="仿宋_GB2312" w:eastAsia="仿宋_GB2312"/>
          <w:color w:val="auto"/>
          <w:sz w:val="32"/>
          <w:szCs w:val="32"/>
        </w:rPr>
        <w:t>年收支总预算</w:t>
      </w:r>
      <w:r>
        <w:rPr>
          <w:rFonts w:hint="default" w:ascii="Times New Roman" w:hAnsi="Times New Roman" w:eastAsia="仿宋_GB2312" w:cs="Times New Roman"/>
          <w:color w:val="auto"/>
          <w:sz w:val="32"/>
          <w:szCs w:val="32"/>
          <w:lang w:val="en-US" w:eastAsia="zh-CN"/>
        </w:rPr>
        <w:t>1221.57</w:t>
      </w:r>
      <w:r>
        <w:rPr>
          <w:rFonts w:hint="eastAsia" w:ascii="仿宋_GB2312" w:eastAsia="仿宋_GB2312"/>
          <w:color w:val="auto"/>
          <w:sz w:val="32"/>
          <w:szCs w:val="32"/>
        </w:rPr>
        <w:t>万元，比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eastAsia" w:ascii="仿宋_GB2312" w:eastAsia="仿宋_GB2312"/>
          <w:color w:val="auto"/>
          <w:sz w:val="32"/>
          <w:szCs w:val="32"/>
        </w:rPr>
        <w:t>年收支预算总数增加</w:t>
      </w:r>
      <w:r>
        <w:rPr>
          <w:rFonts w:hint="default" w:ascii="Times New Roman" w:hAnsi="Times New Roman" w:eastAsia="仿宋_GB2312" w:cs="Times New Roman"/>
          <w:color w:val="auto"/>
          <w:sz w:val="32"/>
          <w:szCs w:val="32"/>
          <w:lang w:val="en-US" w:eastAsia="zh-CN"/>
        </w:rPr>
        <w:t>56.22</w:t>
      </w:r>
      <w:r>
        <w:rPr>
          <w:rFonts w:hint="eastAsia" w:ascii="仿宋_GB2312" w:eastAsia="仿宋_GB2312"/>
          <w:color w:val="auto"/>
          <w:sz w:val="32"/>
          <w:szCs w:val="32"/>
        </w:rPr>
        <w:t>万元，主要原因是</w:t>
      </w:r>
      <w:r>
        <w:rPr>
          <w:rFonts w:hint="eastAsia" w:ascii="仿宋_GB2312" w:eastAsia="仿宋_GB2312"/>
          <w:color w:val="auto"/>
          <w:sz w:val="32"/>
          <w:szCs w:val="32"/>
          <w:lang w:eastAsia="zh-CN"/>
        </w:rPr>
        <w:t>有新增人员。</w:t>
      </w:r>
    </w:p>
    <w:p>
      <w:pPr>
        <w:pStyle w:val="6"/>
        <w:pageBreakBefore w:val="0"/>
        <w:widowControl w:val="0"/>
        <w:kinsoku/>
        <w:wordWrap/>
        <w:overflowPunct/>
        <w:topLinePunct w:val="0"/>
        <w:bidi w:val="0"/>
        <w:adjustRightInd w:val="0"/>
        <w:snapToGrid w:val="0"/>
        <w:spacing w:line="580" w:lineRule="exact"/>
        <w:ind w:left="561" w:leftChars="267" w:firstLine="32" w:firstLineChars="10"/>
        <w:textAlignment w:val="auto"/>
        <w:outlineLvl w:val="1"/>
        <w:rPr>
          <w:rFonts w:hint="eastAsia" w:ascii="楷体_GB2312" w:hAnsi="楷体_GB2312" w:eastAsia="楷体_GB2312" w:cs="楷体_GB2312"/>
          <w:b w:val="0"/>
          <w:bCs w:val="0"/>
          <w:sz w:val="32"/>
          <w:szCs w:val="32"/>
        </w:rPr>
      </w:pPr>
      <w:bookmarkStart w:id="6" w:name="_Toc72430482"/>
      <w:r>
        <w:rPr>
          <w:rFonts w:hint="eastAsia" w:ascii="楷体_GB2312" w:hAnsi="楷体_GB2312" w:eastAsia="楷体_GB2312" w:cs="楷体_GB2312"/>
          <w:b w:val="0"/>
          <w:bCs w:val="0"/>
          <w:sz w:val="32"/>
          <w:szCs w:val="32"/>
        </w:rPr>
        <w:t>（一）收入预算情况</w:t>
      </w:r>
      <w:bookmarkEnd w:id="6"/>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sz w:val="32"/>
          <w:szCs w:val="32"/>
          <w:lang w:eastAsia="zh-CN"/>
        </w:rPr>
        <w:t>员会</w:t>
      </w:r>
      <w:r>
        <w:rPr>
          <w:rFonts w:hint="eastAsia" w:ascii="仿宋_GB2312" w:eastAsia="仿宋_GB2312"/>
          <w:color w:val="auto"/>
          <w:sz w:val="32"/>
          <w:szCs w:val="32"/>
          <w:lang w:eastAsia="zh-CN"/>
        </w:rPr>
        <w:t>部门</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年收入预算</w:t>
      </w:r>
      <w:r>
        <w:rPr>
          <w:rFonts w:hint="default" w:ascii="Times New Roman" w:hAnsi="Times New Roman" w:eastAsia="仿宋_GB2312" w:cs="Times New Roman"/>
          <w:color w:val="auto"/>
          <w:sz w:val="32"/>
          <w:szCs w:val="32"/>
          <w:lang w:val="en-US" w:eastAsia="zh-CN"/>
        </w:rPr>
        <w:t>1221.57</w:t>
      </w:r>
      <w:r>
        <w:rPr>
          <w:rFonts w:hint="eastAsia" w:ascii="仿宋_GB2312" w:eastAsia="仿宋_GB2312"/>
          <w:color w:val="auto"/>
          <w:sz w:val="32"/>
          <w:szCs w:val="32"/>
        </w:rPr>
        <w:t>万元，其中：上年结转</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；一般公共预算拨款收入</w:t>
      </w:r>
      <w:r>
        <w:rPr>
          <w:rFonts w:hint="default" w:ascii="Times New Roman" w:hAnsi="Times New Roman" w:eastAsia="仿宋_GB2312" w:cs="Times New Roman"/>
          <w:color w:val="auto"/>
          <w:sz w:val="32"/>
          <w:szCs w:val="32"/>
          <w:lang w:val="en-US" w:eastAsia="zh-CN"/>
        </w:rPr>
        <w:t>1221.57</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w:t>
      </w:r>
    </w:p>
    <w:p>
      <w:pPr>
        <w:pStyle w:val="6"/>
        <w:pageBreakBefore w:val="0"/>
        <w:widowControl w:val="0"/>
        <w:kinsoku/>
        <w:wordWrap/>
        <w:overflowPunct/>
        <w:topLinePunct w:val="0"/>
        <w:bidi w:val="0"/>
        <w:adjustRightInd w:val="0"/>
        <w:snapToGrid w:val="0"/>
        <w:spacing w:line="580" w:lineRule="exact"/>
        <w:ind w:left="561" w:leftChars="267" w:firstLine="32" w:firstLineChars="10"/>
        <w:textAlignment w:val="auto"/>
        <w:outlineLvl w:val="1"/>
        <w:rPr>
          <w:rFonts w:hint="eastAsia" w:ascii="楷体_GB2312" w:hAnsi="楷体_GB2312" w:eastAsia="楷体_GB2312" w:cs="楷体_GB2312"/>
          <w:b w:val="0"/>
          <w:bCs w:val="0"/>
          <w:sz w:val="32"/>
          <w:szCs w:val="32"/>
        </w:rPr>
      </w:pPr>
      <w:bookmarkStart w:id="7" w:name="_Toc72430483"/>
      <w:r>
        <w:rPr>
          <w:rFonts w:hint="eastAsia" w:ascii="楷体_GB2312" w:hAnsi="楷体_GB2312" w:eastAsia="楷体_GB2312" w:cs="楷体_GB2312"/>
          <w:b w:val="0"/>
          <w:bCs w:val="0"/>
          <w:sz w:val="32"/>
          <w:szCs w:val="32"/>
        </w:rPr>
        <w:t>（二）支出预算情况</w:t>
      </w:r>
      <w:bookmarkEnd w:id="7"/>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sz w:val="32"/>
          <w:szCs w:val="32"/>
          <w:lang w:eastAsia="zh-CN"/>
        </w:rPr>
        <w:t>员会</w:t>
      </w:r>
      <w:r>
        <w:rPr>
          <w:rFonts w:hint="eastAsia" w:ascii="仿宋_GB2312" w:eastAsia="仿宋_GB2312"/>
          <w:color w:val="auto"/>
          <w:sz w:val="32"/>
          <w:szCs w:val="32"/>
          <w:lang w:eastAsia="zh-CN"/>
        </w:rPr>
        <w:t>部门</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年支出预算</w:t>
      </w:r>
      <w:r>
        <w:rPr>
          <w:rFonts w:hint="default" w:ascii="Times New Roman" w:hAnsi="Times New Roman" w:eastAsia="仿宋_GB2312" w:cs="Times New Roman"/>
          <w:color w:val="auto"/>
          <w:sz w:val="32"/>
          <w:szCs w:val="32"/>
          <w:lang w:val="en-US" w:eastAsia="zh-CN"/>
        </w:rPr>
        <w:t>1221.57</w:t>
      </w:r>
      <w:r>
        <w:rPr>
          <w:rFonts w:hint="eastAsia" w:ascii="仿宋_GB2312" w:eastAsia="仿宋_GB2312"/>
          <w:color w:val="auto"/>
          <w:sz w:val="32"/>
          <w:szCs w:val="32"/>
        </w:rPr>
        <w:t>万元，其中：基本支出</w:t>
      </w:r>
      <w:r>
        <w:rPr>
          <w:rFonts w:hint="default" w:ascii="Times New Roman" w:hAnsi="Times New Roman" w:eastAsia="仿宋_GB2312" w:cs="Times New Roman"/>
          <w:color w:val="auto"/>
          <w:sz w:val="32"/>
          <w:szCs w:val="32"/>
          <w:lang w:val="en-US" w:eastAsia="zh-CN"/>
        </w:rPr>
        <w:t>897.51</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73.47</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；项目支出</w:t>
      </w:r>
      <w:r>
        <w:rPr>
          <w:rFonts w:hint="default" w:ascii="Times New Roman" w:hAnsi="Times New Roman" w:eastAsia="仿宋_GB2312" w:cs="Times New Roman"/>
          <w:color w:val="auto"/>
          <w:sz w:val="32"/>
          <w:szCs w:val="32"/>
          <w:lang w:val="en-US" w:eastAsia="zh-CN"/>
        </w:rPr>
        <w:t>324.06</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26.53</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w:t>
      </w:r>
    </w:p>
    <w:p>
      <w:pPr>
        <w:pStyle w:val="4"/>
        <w:pageBreakBefore w:val="0"/>
        <w:widowControl w:val="0"/>
        <w:kinsoku/>
        <w:wordWrap/>
        <w:overflowPunct/>
        <w:topLinePunct w:val="0"/>
        <w:bidi w:val="0"/>
        <w:spacing w:line="580" w:lineRule="exact"/>
        <w:ind w:firstLine="640" w:firstLineChars="200"/>
        <w:textAlignment w:val="auto"/>
        <w:rPr>
          <w:rFonts w:hint="eastAsia" w:ascii="黑体" w:hAnsi="Times New Roman" w:eastAsia="黑体" w:cs="Times New Roman"/>
          <w:b w:val="0"/>
          <w:bCs w:val="0"/>
          <w:sz w:val="32"/>
          <w:szCs w:val="32"/>
        </w:rPr>
      </w:pPr>
      <w:bookmarkStart w:id="8" w:name="_Toc72430484"/>
      <w:r>
        <w:rPr>
          <w:rFonts w:hint="eastAsia" w:ascii="黑体" w:hAnsi="Times New Roman" w:eastAsia="黑体" w:cs="Times New Roman"/>
          <w:b w:val="0"/>
          <w:bCs w:val="0"/>
          <w:sz w:val="32"/>
          <w:szCs w:val="32"/>
        </w:rPr>
        <w:t>四、财政拨款收支预算情况说明</w:t>
      </w:r>
      <w:bookmarkEnd w:id="8"/>
    </w:p>
    <w:p>
      <w:pPr>
        <w:keepNext w:val="0"/>
        <w:keepLines w:val="0"/>
        <w:pageBreakBefore w:val="0"/>
        <w:widowControl w:val="0"/>
        <w:kinsoku/>
        <w:wordWrap/>
        <w:overflowPunct/>
        <w:topLinePunct w:val="0"/>
        <w:bidi w:val="0"/>
        <w:adjustRightInd/>
        <w:snapToGrid/>
        <w:spacing w:line="592" w:lineRule="exact"/>
        <w:ind w:firstLine="645"/>
        <w:jc w:val="both"/>
        <w:textAlignment w:val="auto"/>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sz w:val="32"/>
          <w:szCs w:val="32"/>
          <w:lang w:eastAsia="zh-CN"/>
        </w:rPr>
        <w:t>员会</w:t>
      </w:r>
      <w:r>
        <w:rPr>
          <w:rFonts w:hint="eastAsia" w:ascii="仿宋_GB2312" w:eastAsia="仿宋_GB2312"/>
          <w:color w:val="auto"/>
          <w:sz w:val="32"/>
          <w:szCs w:val="32"/>
          <w:lang w:eastAsia="zh-CN"/>
        </w:rPr>
        <w:t>部门</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年财政拨款收支总预算</w:t>
      </w:r>
      <w:r>
        <w:rPr>
          <w:rFonts w:hint="default" w:ascii="Times New Roman" w:hAnsi="Times New Roman" w:eastAsia="仿宋_GB2312" w:cs="Times New Roman"/>
          <w:color w:val="auto"/>
          <w:sz w:val="32"/>
          <w:szCs w:val="32"/>
          <w:lang w:val="en-US" w:eastAsia="zh-CN"/>
        </w:rPr>
        <w:t>1221.57</w:t>
      </w:r>
      <w:r>
        <w:rPr>
          <w:rFonts w:hint="eastAsia" w:ascii="仿宋_GB2312" w:eastAsia="仿宋_GB2312"/>
          <w:color w:val="auto"/>
          <w:sz w:val="32"/>
          <w:szCs w:val="32"/>
        </w:rPr>
        <w:t>万元，比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eastAsia" w:ascii="仿宋_GB2312" w:eastAsia="仿宋_GB2312"/>
          <w:color w:val="auto"/>
          <w:sz w:val="32"/>
          <w:szCs w:val="32"/>
        </w:rPr>
        <w:t>年财政拨款收支总预算增加</w:t>
      </w:r>
      <w:r>
        <w:rPr>
          <w:rFonts w:hint="default" w:ascii="Times New Roman" w:hAnsi="Times New Roman" w:eastAsia="仿宋_GB2312" w:cs="Times New Roman"/>
          <w:color w:val="auto"/>
          <w:sz w:val="32"/>
          <w:szCs w:val="32"/>
          <w:lang w:val="en-US" w:eastAsia="zh-CN"/>
        </w:rPr>
        <w:t>56.22</w:t>
      </w:r>
      <w:r>
        <w:rPr>
          <w:rFonts w:hint="eastAsia" w:ascii="仿宋_GB2312" w:eastAsia="仿宋_GB2312"/>
          <w:color w:val="auto"/>
          <w:sz w:val="32"/>
          <w:szCs w:val="32"/>
        </w:rPr>
        <w:t>万元，</w:t>
      </w:r>
      <w:r>
        <w:rPr>
          <w:rFonts w:hint="eastAsia" w:ascii="仿宋_GB2312" w:eastAsia="仿宋_GB2312"/>
          <w:color w:val="auto"/>
          <w:sz w:val="32"/>
          <w:szCs w:val="32"/>
          <w:lang w:eastAsia="zh-CN"/>
        </w:rPr>
        <w:t>增加</w:t>
      </w:r>
      <w:r>
        <w:rPr>
          <w:rFonts w:hint="eastAsia" w:ascii="仿宋_GB2312" w:eastAsia="仿宋_GB2312"/>
          <w:color w:val="auto"/>
          <w:sz w:val="32"/>
          <w:szCs w:val="32"/>
        </w:rPr>
        <w:t>原因</w:t>
      </w:r>
      <w:r>
        <w:rPr>
          <w:rFonts w:hint="eastAsia" w:ascii="仿宋_GB2312" w:eastAsia="仿宋_GB2312"/>
          <w:color w:val="auto"/>
          <w:sz w:val="32"/>
          <w:szCs w:val="32"/>
          <w:lang w:eastAsia="zh-CN"/>
        </w:rPr>
        <w:t>为有新增人员</w:t>
      </w:r>
      <w:r>
        <w:rPr>
          <w:rFonts w:hint="eastAsia" w:ascii="仿宋_GB2312" w:eastAsia="仿宋_GB2312"/>
          <w:color w:val="auto"/>
          <w:sz w:val="32"/>
          <w:szCs w:val="32"/>
        </w:rPr>
        <w:t>。</w:t>
      </w:r>
    </w:p>
    <w:p>
      <w:pPr>
        <w:keepNext w:val="0"/>
        <w:keepLines w:val="0"/>
        <w:pageBreakBefore w:val="0"/>
        <w:widowControl w:val="0"/>
        <w:kinsoku/>
        <w:wordWrap/>
        <w:overflowPunct/>
        <w:topLinePunct w:val="0"/>
        <w:bidi w:val="0"/>
        <w:adjustRightInd/>
        <w:snapToGrid/>
        <w:spacing w:line="592" w:lineRule="exact"/>
        <w:ind w:firstLine="640" w:firstLineChars="200"/>
        <w:jc w:val="both"/>
        <w:textAlignment w:val="auto"/>
        <w:rPr>
          <w:rFonts w:hint="eastAsia" w:ascii="仿宋_GB2312" w:eastAsia="仿宋_GB2312"/>
          <w:color w:val="0000FF"/>
          <w:sz w:val="32"/>
          <w:szCs w:val="32"/>
        </w:rPr>
      </w:pPr>
      <w:r>
        <w:rPr>
          <w:rFonts w:hint="eastAsia" w:ascii="仿宋_GB2312" w:eastAsia="仿宋_GB2312"/>
          <w:color w:val="auto"/>
          <w:sz w:val="32"/>
          <w:szCs w:val="32"/>
        </w:rPr>
        <w:t>收入包括：本年一般公共预算拨款收入</w:t>
      </w:r>
      <w:r>
        <w:rPr>
          <w:rFonts w:hint="default" w:ascii="Times New Roman" w:hAnsi="Times New Roman" w:eastAsia="仿宋_GB2312" w:cs="Times New Roman"/>
          <w:color w:val="auto"/>
          <w:sz w:val="32"/>
          <w:szCs w:val="32"/>
          <w:lang w:val="en-US" w:eastAsia="zh-CN"/>
        </w:rPr>
        <w:t>1221.57</w:t>
      </w:r>
      <w:r>
        <w:rPr>
          <w:rFonts w:hint="eastAsia" w:ascii="仿宋_GB2312" w:eastAsia="仿宋_GB2312"/>
          <w:color w:val="auto"/>
          <w:sz w:val="32"/>
          <w:szCs w:val="32"/>
        </w:rPr>
        <w:t>万元，本年政府性基金收入</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万元，上年结转一般公共预算拨款收入</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万元；支出包括：公共安全支出</w:t>
      </w:r>
      <w:r>
        <w:rPr>
          <w:rFonts w:hint="default" w:ascii="Times New Roman" w:hAnsi="Times New Roman" w:eastAsia="仿宋_GB2312" w:cs="Times New Roman"/>
          <w:color w:val="auto"/>
          <w:sz w:val="32"/>
          <w:szCs w:val="32"/>
          <w:lang w:val="en-US" w:eastAsia="zh-CN"/>
        </w:rPr>
        <w:t>1026.46</w:t>
      </w:r>
      <w:r>
        <w:rPr>
          <w:rFonts w:hint="eastAsia" w:ascii="仿宋_GB2312" w:eastAsia="仿宋_GB2312"/>
          <w:color w:val="auto"/>
          <w:sz w:val="32"/>
          <w:szCs w:val="32"/>
        </w:rPr>
        <w:t>万元、社会保障和就业支出</w:t>
      </w:r>
      <w:r>
        <w:rPr>
          <w:rFonts w:hint="default" w:ascii="Times New Roman" w:hAnsi="Times New Roman" w:eastAsia="仿宋_GB2312" w:cs="Times New Roman"/>
          <w:color w:val="auto"/>
          <w:sz w:val="32"/>
          <w:szCs w:val="32"/>
          <w:lang w:val="en-US" w:eastAsia="zh-CN"/>
        </w:rPr>
        <w:t>90.77</w:t>
      </w:r>
      <w:r>
        <w:rPr>
          <w:rFonts w:hint="eastAsia" w:ascii="仿宋_GB2312" w:eastAsia="仿宋_GB2312"/>
          <w:color w:val="auto"/>
          <w:sz w:val="32"/>
          <w:szCs w:val="32"/>
        </w:rPr>
        <w:t>万元、卫生健康支出</w:t>
      </w:r>
      <w:r>
        <w:rPr>
          <w:rFonts w:hint="default" w:ascii="Times New Roman" w:hAnsi="Times New Roman" w:eastAsia="仿宋_GB2312" w:cs="Times New Roman"/>
          <w:color w:val="auto"/>
          <w:sz w:val="32"/>
          <w:szCs w:val="32"/>
          <w:lang w:val="en-US" w:eastAsia="zh-CN"/>
        </w:rPr>
        <w:t>45.43</w:t>
      </w:r>
      <w:r>
        <w:rPr>
          <w:rFonts w:hint="eastAsia" w:ascii="仿宋_GB2312" w:eastAsia="仿宋_GB2312"/>
          <w:color w:val="auto"/>
          <w:sz w:val="32"/>
          <w:szCs w:val="32"/>
        </w:rPr>
        <w:t>万元、住房保障支出</w:t>
      </w:r>
      <w:r>
        <w:rPr>
          <w:rFonts w:hint="default" w:ascii="Times New Roman" w:hAnsi="Times New Roman" w:eastAsia="仿宋_GB2312" w:cs="Times New Roman"/>
          <w:color w:val="auto"/>
          <w:sz w:val="32"/>
          <w:szCs w:val="32"/>
          <w:lang w:val="en-US" w:eastAsia="zh-CN"/>
        </w:rPr>
        <w:t>58.90</w:t>
      </w:r>
      <w:r>
        <w:rPr>
          <w:rFonts w:hint="eastAsia" w:ascii="仿宋_GB2312" w:eastAsia="仿宋_GB2312"/>
          <w:color w:val="auto"/>
          <w:sz w:val="32"/>
          <w:szCs w:val="32"/>
        </w:rPr>
        <w:t>万元。</w:t>
      </w:r>
    </w:p>
    <w:p>
      <w:pPr>
        <w:pStyle w:val="4"/>
        <w:pageBreakBefore w:val="0"/>
        <w:widowControl w:val="0"/>
        <w:kinsoku/>
        <w:wordWrap/>
        <w:overflowPunct/>
        <w:topLinePunct w:val="0"/>
        <w:bidi w:val="0"/>
        <w:spacing w:line="580" w:lineRule="exact"/>
        <w:ind w:firstLine="640" w:firstLineChars="200"/>
        <w:textAlignment w:val="auto"/>
        <w:rPr>
          <w:rFonts w:hint="eastAsia" w:ascii="黑体" w:hAnsi="Times New Roman" w:eastAsia="黑体" w:cs="Times New Roman"/>
          <w:b w:val="0"/>
          <w:bCs w:val="0"/>
          <w:sz w:val="32"/>
          <w:szCs w:val="32"/>
        </w:rPr>
      </w:pPr>
      <w:bookmarkStart w:id="9" w:name="_Toc72430485"/>
      <w:r>
        <w:rPr>
          <w:rFonts w:hint="eastAsia" w:ascii="黑体" w:hAnsi="Times New Roman" w:eastAsia="黑体" w:cs="Times New Roman"/>
          <w:b w:val="0"/>
          <w:bCs w:val="0"/>
          <w:sz w:val="32"/>
          <w:szCs w:val="32"/>
        </w:rPr>
        <w:t>五、一般公共预算当年拨款情况说明</w:t>
      </w:r>
      <w:bookmarkEnd w:id="9"/>
    </w:p>
    <w:p>
      <w:pPr>
        <w:pStyle w:val="6"/>
        <w:pageBreakBefore w:val="0"/>
        <w:widowControl w:val="0"/>
        <w:kinsoku/>
        <w:wordWrap/>
        <w:overflowPunct/>
        <w:topLinePunct w:val="0"/>
        <w:bidi w:val="0"/>
        <w:adjustRightInd w:val="0"/>
        <w:snapToGrid w:val="0"/>
        <w:spacing w:line="580" w:lineRule="exact"/>
        <w:ind w:left="561" w:leftChars="267" w:firstLine="32" w:firstLineChars="10"/>
        <w:textAlignment w:val="auto"/>
        <w:outlineLvl w:val="1"/>
        <w:rPr>
          <w:rFonts w:hint="eastAsia" w:ascii="楷体_GB2312" w:hAnsi="楷体_GB2312" w:eastAsia="楷体_GB2312" w:cs="楷体_GB2312"/>
          <w:b w:val="0"/>
          <w:bCs w:val="0"/>
          <w:sz w:val="32"/>
          <w:szCs w:val="32"/>
        </w:rPr>
      </w:pPr>
      <w:bookmarkStart w:id="10" w:name="_Toc72430486"/>
      <w:r>
        <w:rPr>
          <w:rFonts w:hint="eastAsia" w:ascii="楷体_GB2312" w:hAnsi="楷体_GB2312" w:eastAsia="楷体_GB2312" w:cs="楷体_GB2312"/>
          <w:b w:val="0"/>
          <w:bCs w:val="0"/>
          <w:sz w:val="32"/>
          <w:szCs w:val="32"/>
        </w:rPr>
        <w:t>（一）一般公共预算当年拨款规模变化情况</w:t>
      </w:r>
      <w:bookmarkEnd w:id="10"/>
    </w:p>
    <w:p>
      <w:pPr>
        <w:keepNext w:val="0"/>
        <w:keepLines w:val="0"/>
        <w:pageBreakBefore w:val="0"/>
        <w:widowControl w:val="0"/>
        <w:kinsoku/>
        <w:wordWrap/>
        <w:overflowPunct/>
        <w:topLinePunct w:val="0"/>
        <w:bidi w:val="0"/>
        <w:adjustRightInd/>
        <w:snapToGrid/>
        <w:spacing w:line="592" w:lineRule="exact"/>
        <w:ind w:firstLine="645"/>
        <w:jc w:val="both"/>
        <w:textAlignment w:val="auto"/>
        <w:rPr>
          <w:rFonts w:hint="eastAsia" w:ascii="仿宋_GB2312" w:eastAsia="仿宋_GB2312"/>
          <w:color w:val="0000FF"/>
          <w:sz w:val="32"/>
          <w:szCs w:val="32"/>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sz w:val="32"/>
          <w:szCs w:val="32"/>
          <w:lang w:eastAsia="zh-CN"/>
        </w:rPr>
        <w:t>员会</w:t>
      </w:r>
      <w:r>
        <w:rPr>
          <w:rFonts w:hint="eastAsia" w:ascii="仿宋_GB2312" w:eastAsia="仿宋_GB2312"/>
          <w:color w:val="auto"/>
          <w:sz w:val="32"/>
          <w:szCs w:val="32"/>
          <w:lang w:eastAsia="zh-CN"/>
        </w:rPr>
        <w:t>部门</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eastAsia" w:ascii="仿宋_GB2312" w:eastAsia="仿宋_GB2312"/>
          <w:color w:val="auto"/>
          <w:sz w:val="32"/>
          <w:szCs w:val="32"/>
        </w:rPr>
        <w:t>年一般公共预算当年拨款</w:t>
      </w:r>
      <w:r>
        <w:rPr>
          <w:rFonts w:hint="default" w:ascii="Times New Roman" w:hAnsi="Times New Roman" w:eastAsia="仿宋_GB2312" w:cs="Times New Roman"/>
          <w:color w:val="auto"/>
          <w:sz w:val="32"/>
          <w:szCs w:val="32"/>
          <w:lang w:val="en-US" w:eastAsia="zh-CN"/>
        </w:rPr>
        <w:t>1221.57</w:t>
      </w:r>
      <w:r>
        <w:rPr>
          <w:rFonts w:hint="eastAsia" w:ascii="仿宋_GB2312" w:eastAsia="仿宋_GB2312"/>
          <w:color w:val="auto"/>
          <w:sz w:val="32"/>
          <w:szCs w:val="32"/>
        </w:rPr>
        <w:t>万元，比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eastAsia" w:ascii="仿宋_GB2312" w:eastAsia="仿宋_GB2312"/>
          <w:color w:val="auto"/>
          <w:sz w:val="32"/>
          <w:szCs w:val="32"/>
        </w:rPr>
        <w:t>年预算数增加</w:t>
      </w:r>
      <w:r>
        <w:rPr>
          <w:rFonts w:hint="default" w:ascii="Times New Roman" w:hAnsi="Times New Roman" w:eastAsia="仿宋_GB2312" w:cs="Times New Roman"/>
          <w:color w:val="auto"/>
          <w:sz w:val="32"/>
          <w:szCs w:val="32"/>
          <w:lang w:val="en-US" w:eastAsia="zh-CN"/>
        </w:rPr>
        <w:t>56.22</w:t>
      </w:r>
      <w:r>
        <w:rPr>
          <w:rFonts w:hint="eastAsia" w:ascii="仿宋_GB2312" w:eastAsia="仿宋_GB2312"/>
          <w:color w:val="auto"/>
          <w:sz w:val="32"/>
          <w:szCs w:val="32"/>
        </w:rPr>
        <w:t>万元，</w:t>
      </w:r>
      <w:r>
        <w:rPr>
          <w:rFonts w:hint="eastAsia" w:ascii="仿宋_GB2312" w:eastAsia="仿宋_GB2312"/>
          <w:color w:val="auto"/>
          <w:sz w:val="32"/>
          <w:szCs w:val="32"/>
          <w:lang w:eastAsia="zh-CN"/>
        </w:rPr>
        <w:t>增加</w:t>
      </w:r>
      <w:r>
        <w:rPr>
          <w:rFonts w:hint="eastAsia" w:ascii="仿宋_GB2312" w:eastAsia="仿宋_GB2312"/>
          <w:color w:val="auto"/>
          <w:sz w:val="32"/>
          <w:szCs w:val="32"/>
        </w:rPr>
        <w:t>原因</w:t>
      </w:r>
      <w:r>
        <w:rPr>
          <w:rFonts w:hint="eastAsia" w:ascii="仿宋_GB2312" w:eastAsia="仿宋_GB2312"/>
          <w:color w:val="auto"/>
          <w:sz w:val="32"/>
          <w:szCs w:val="32"/>
          <w:lang w:eastAsia="zh-CN"/>
        </w:rPr>
        <w:t>为有新增人员</w:t>
      </w:r>
      <w:r>
        <w:rPr>
          <w:rFonts w:hint="eastAsia" w:ascii="仿宋_GB2312" w:eastAsia="仿宋_GB2312"/>
          <w:color w:val="auto"/>
          <w:sz w:val="32"/>
          <w:szCs w:val="32"/>
        </w:rPr>
        <w:t>。</w:t>
      </w:r>
    </w:p>
    <w:p>
      <w:pPr>
        <w:pStyle w:val="6"/>
        <w:pageBreakBefore w:val="0"/>
        <w:widowControl w:val="0"/>
        <w:kinsoku/>
        <w:wordWrap/>
        <w:overflowPunct/>
        <w:topLinePunct w:val="0"/>
        <w:bidi w:val="0"/>
        <w:adjustRightInd w:val="0"/>
        <w:snapToGrid w:val="0"/>
        <w:spacing w:line="580" w:lineRule="exact"/>
        <w:ind w:left="561" w:leftChars="267" w:firstLine="32" w:firstLineChars="10"/>
        <w:textAlignment w:val="auto"/>
        <w:outlineLvl w:val="1"/>
        <w:rPr>
          <w:rFonts w:hint="eastAsia" w:ascii="楷体_GB2312" w:hAnsi="楷体_GB2312" w:eastAsia="楷体_GB2312" w:cs="楷体_GB2312"/>
          <w:b w:val="0"/>
          <w:bCs w:val="0"/>
          <w:sz w:val="32"/>
          <w:szCs w:val="32"/>
        </w:rPr>
      </w:pPr>
      <w:bookmarkStart w:id="11" w:name="_Toc72430487"/>
      <w:r>
        <w:rPr>
          <w:rFonts w:hint="eastAsia" w:ascii="楷体_GB2312" w:hAnsi="楷体_GB2312" w:eastAsia="楷体_GB2312" w:cs="楷体_GB2312"/>
          <w:b w:val="0"/>
          <w:bCs w:val="0"/>
          <w:sz w:val="32"/>
          <w:szCs w:val="32"/>
        </w:rPr>
        <w:t>（二）一般公共预算当年拨款结构情况</w:t>
      </w:r>
      <w:bookmarkEnd w:id="11"/>
    </w:p>
    <w:p>
      <w:pPr>
        <w:keepNext w:val="0"/>
        <w:keepLines w:val="0"/>
        <w:pageBreakBefore w:val="0"/>
        <w:widowControl w:val="0"/>
        <w:kinsoku/>
        <w:wordWrap/>
        <w:overflowPunct/>
        <w:topLinePunct w:val="0"/>
        <w:bidi w:val="0"/>
        <w:adjustRightInd/>
        <w:snapToGrid/>
        <w:spacing w:line="592" w:lineRule="exact"/>
        <w:ind w:firstLine="640" w:firstLineChars="200"/>
        <w:jc w:val="both"/>
        <w:textAlignment w:val="auto"/>
        <w:rPr>
          <w:rFonts w:hint="eastAsia" w:ascii="仿宋" w:hAnsi="仿宋" w:eastAsia="仿宋"/>
          <w:b/>
          <w:color w:val="auto"/>
          <w:sz w:val="32"/>
          <w:szCs w:val="32"/>
        </w:rPr>
      </w:pPr>
      <w:r>
        <w:rPr>
          <w:rFonts w:hint="eastAsia" w:ascii="仿宋_GB2312" w:eastAsia="仿宋_GB2312"/>
          <w:color w:val="auto"/>
          <w:sz w:val="32"/>
          <w:szCs w:val="32"/>
        </w:rPr>
        <w:t>公共安全支出</w:t>
      </w:r>
      <w:r>
        <w:rPr>
          <w:rFonts w:hint="default" w:ascii="Times New Roman" w:hAnsi="Times New Roman" w:eastAsia="仿宋_GB2312" w:cs="Times New Roman"/>
          <w:color w:val="auto"/>
          <w:sz w:val="32"/>
          <w:szCs w:val="32"/>
          <w:lang w:val="en-US" w:eastAsia="zh-CN"/>
        </w:rPr>
        <w:t>1026.46</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84.03</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；社会保障和就业支出</w:t>
      </w:r>
      <w:r>
        <w:rPr>
          <w:rFonts w:hint="default" w:ascii="Times New Roman" w:hAnsi="Times New Roman" w:eastAsia="仿宋_GB2312" w:cs="Times New Roman"/>
          <w:color w:val="auto"/>
          <w:sz w:val="32"/>
          <w:szCs w:val="32"/>
          <w:lang w:val="en-US" w:eastAsia="zh-CN"/>
        </w:rPr>
        <w:t>90.77</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7.43</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；卫生健康支出</w:t>
      </w:r>
      <w:r>
        <w:rPr>
          <w:rFonts w:hint="default" w:ascii="Times New Roman" w:hAnsi="Times New Roman" w:eastAsia="仿宋_GB2312" w:cs="Times New Roman"/>
          <w:color w:val="auto"/>
          <w:sz w:val="32"/>
          <w:szCs w:val="32"/>
          <w:lang w:val="en-US" w:eastAsia="zh-CN"/>
        </w:rPr>
        <w:t>45.43</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3.72</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；住房保障支出</w:t>
      </w:r>
      <w:r>
        <w:rPr>
          <w:rFonts w:hint="default" w:ascii="Times New Roman" w:hAnsi="Times New Roman" w:eastAsia="仿宋_GB2312" w:cs="Times New Roman"/>
          <w:color w:val="auto"/>
          <w:sz w:val="32"/>
          <w:szCs w:val="32"/>
          <w:lang w:val="en-US" w:eastAsia="zh-CN"/>
        </w:rPr>
        <w:t>58.90</w:t>
      </w:r>
      <w:r>
        <w:rPr>
          <w:rFonts w:hint="eastAsia" w:ascii="仿宋_GB2312" w:eastAsia="仿宋_GB2312"/>
          <w:color w:val="auto"/>
          <w:sz w:val="32"/>
          <w:szCs w:val="32"/>
        </w:rPr>
        <w:t>万元，占</w:t>
      </w:r>
      <w:r>
        <w:rPr>
          <w:rFonts w:hint="default" w:ascii="Times New Roman" w:hAnsi="Times New Roman" w:eastAsia="仿宋_GB2312" w:cs="Times New Roman"/>
          <w:color w:val="auto"/>
          <w:sz w:val="32"/>
          <w:szCs w:val="32"/>
          <w:lang w:val="en-US" w:eastAsia="zh-CN"/>
        </w:rPr>
        <w:t>4.82</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rPr>
        <w:t>。</w:t>
      </w:r>
    </w:p>
    <w:p>
      <w:pPr>
        <w:pStyle w:val="6"/>
        <w:pageBreakBefore w:val="0"/>
        <w:widowControl w:val="0"/>
        <w:kinsoku/>
        <w:wordWrap/>
        <w:overflowPunct/>
        <w:topLinePunct w:val="0"/>
        <w:bidi w:val="0"/>
        <w:adjustRightInd w:val="0"/>
        <w:snapToGrid w:val="0"/>
        <w:spacing w:line="580" w:lineRule="exact"/>
        <w:ind w:left="561" w:leftChars="267" w:firstLine="32" w:firstLineChars="10"/>
        <w:textAlignment w:val="auto"/>
        <w:outlineLvl w:val="1"/>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（三）一般公共预算当年拨款具体使用情况</w:t>
      </w:r>
    </w:p>
    <w:p>
      <w:pPr>
        <w:keepNext w:val="0"/>
        <w:keepLines w:val="0"/>
        <w:pageBreakBefore w:val="0"/>
        <w:widowControl w:val="0"/>
        <w:kinsoku/>
        <w:wordWrap/>
        <w:overflowPunct/>
        <w:topLinePunct w:val="0"/>
        <w:bidi w:val="0"/>
        <w:adjustRightInd/>
        <w:snapToGrid/>
        <w:spacing w:line="592" w:lineRule="exact"/>
        <w:ind w:firstLine="640" w:firstLineChars="200"/>
        <w:jc w:val="both"/>
        <w:textAlignment w:val="auto"/>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公共安全支出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公安</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行政运行</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年预算数为</w:t>
      </w:r>
      <w:r>
        <w:rPr>
          <w:rFonts w:hint="default" w:ascii="Times New Roman" w:hAnsi="Times New Roman" w:eastAsia="仿宋_GB2312" w:cs="Times New Roman"/>
          <w:color w:val="auto"/>
          <w:sz w:val="32"/>
          <w:szCs w:val="32"/>
          <w:highlight w:val="none"/>
          <w:lang w:val="en-US" w:eastAsia="zh-CN"/>
        </w:rPr>
        <w:t>533.03</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保障</w:t>
      </w:r>
      <w:r>
        <w:rPr>
          <w:rFonts w:hint="eastAsia" w:ascii="Times New Roman" w:hAnsi="Times New Roman" w:eastAsia="仿宋_GB2312" w:cs="Times New Roman"/>
          <w:sz w:val="32"/>
          <w:szCs w:val="32"/>
          <w:highlight w:val="none"/>
          <w:lang w:val="en-US" w:eastAsia="zh-CN"/>
        </w:rPr>
        <w:t>机关正常工作运转支出</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adjustRightInd/>
        <w:snapToGrid/>
        <w:spacing w:line="592" w:lineRule="exact"/>
        <w:ind w:firstLine="640" w:firstLineChars="200"/>
        <w:jc w:val="both"/>
        <w:textAlignment w:val="auto"/>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公共安全支出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公安</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一般行政管理事务</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年预算数为</w:t>
      </w:r>
      <w:r>
        <w:rPr>
          <w:rFonts w:hint="default" w:ascii="Times New Roman" w:hAnsi="Times New Roman" w:eastAsia="仿宋_GB2312" w:cs="Times New Roman"/>
          <w:color w:val="auto"/>
          <w:sz w:val="32"/>
          <w:szCs w:val="32"/>
          <w:highlight w:val="none"/>
          <w:lang w:val="en-US" w:eastAsia="zh-CN"/>
        </w:rPr>
        <w:t>317.36</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综治中心信息化建设项目、长安网及大调解、政法三级网、综合治理、维护稳定项目、关心下一代工作委员会项目、平安建设，网格化管理，见义勇为，群防群治项目、矛盾纠纷多元化解机制建设及律师参与化解涉法涉诉信访项目、扫黑除恶等专项工作及基层社会治理等项目的经费支出</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adjustRightInd/>
        <w:snapToGrid/>
        <w:spacing w:line="592" w:lineRule="exact"/>
        <w:ind w:firstLine="640" w:firstLineChars="200"/>
        <w:jc w:val="both"/>
        <w:textAlignment w:val="auto"/>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公共安全支出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公安</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事业运行</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年预算数为</w:t>
      </w:r>
      <w:r>
        <w:rPr>
          <w:rFonts w:hint="default" w:ascii="Times New Roman" w:hAnsi="Times New Roman" w:eastAsia="仿宋_GB2312" w:cs="Times New Roman"/>
          <w:color w:val="auto"/>
          <w:sz w:val="32"/>
          <w:szCs w:val="32"/>
          <w:highlight w:val="none"/>
          <w:lang w:val="en-US" w:eastAsia="zh-CN"/>
        </w:rPr>
        <w:t>169.37</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：自贡市法学会和自贡市社会治安综合治理中心</w:t>
      </w:r>
      <w:r>
        <w:rPr>
          <w:rFonts w:hint="eastAsia" w:ascii="Times New Roman" w:hAnsi="Times New Roman" w:eastAsia="仿宋_GB2312" w:cs="Times New Roman"/>
          <w:sz w:val="32"/>
          <w:szCs w:val="32"/>
          <w:highlight w:val="none"/>
          <w:lang w:val="en-US" w:eastAsia="zh-CN"/>
        </w:rPr>
        <w:t>正常工作运转支出</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adjustRightInd/>
        <w:snapToGrid/>
        <w:spacing w:line="592" w:lineRule="exact"/>
        <w:ind w:firstLine="640" w:firstLineChars="200"/>
        <w:jc w:val="both"/>
        <w:textAlignment w:val="auto"/>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公共安全支出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公安</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其他公安支出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年预算数为</w:t>
      </w:r>
      <w:r>
        <w:rPr>
          <w:rFonts w:hint="default" w:ascii="Times New Roman" w:hAnsi="Times New Roman" w:eastAsia="仿宋_GB2312" w:cs="Times New Roman"/>
          <w:color w:val="auto"/>
          <w:sz w:val="32"/>
          <w:szCs w:val="32"/>
          <w:highlight w:val="none"/>
          <w:lang w:val="en-US" w:eastAsia="zh-CN"/>
        </w:rPr>
        <w:t>6.7</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：法治内刊</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eastAsia="zh-CN"/>
        </w:rPr>
        <w:t>自贡政法</w:t>
      </w:r>
      <w:r>
        <w:rPr>
          <w:rFonts w:hint="eastAsia" w:ascii="仿宋_GB2312" w:hAnsi="仿宋_GB2312" w:eastAsia="仿宋_GB2312" w:cs="仿宋_GB2312"/>
          <w:color w:val="auto"/>
          <w:sz w:val="32"/>
          <w:szCs w:val="32"/>
          <w:highlight w:val="none"/>
          <w:lang w:eastAsia="zh-CN"/>
        </w:rPr>
        <w:t>”</w:t>
      </w:r>
      <w:r>
        <w:rPr>
          <w:rFonts w:hint="eastAsia" w:ascii="仿宋_GB2312" w:eastAsia="仿宋_GB2312"/>
          <w:color w:val="auto"/>
          <w:sz w:val="32"/>
          <w:szCs w:val="32"/>
          <w:highlight w:val="none"/>
          <w:lang w:eastAsia="zh-CN"/>
        </w:rPr>
        <w:t>项目的经费支出</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社会保障和就业（</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行政单位离退休</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年预算数为</w:t>
      </w:r>
      <w:r>
        <w:rPr>
          <w:rFonts w:hint="default" w:ascii="Times New Roman" w:hAnsi="Times New Roman" w:eastAsia="仿宋_GB2312" w:cs="Times New Roman"/>
          <w:color w:val="auto"/>
          <w:sz w:val="32"/>
          <w:szCs w:val="32"/>
          <w:highlight w:val="none"/>
          <w:lang w:val="en-US" w:eastAsia="zh-CN"/>
        </w:rPr>
        <w:t>0.91</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退休人员活动费及退休人员交通补贴</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社会保障和就业（</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机关事业单位基本养老保险缴费支出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年预算数为</w:t>
      </w:r>
      <w:r>
        <w:rPr>
          <w:rFonts w:hint="default" w:ascii="Times New Roman" w:hAnsi="Times New Roman" w:eastAsia="仿宋_GB2312" w:cs="Times New Roman"/>
          <w:color w:val="auto"/>
          <w:sz w:val="32"/>
          <w:szCs w:val="32"/>
          <w:highlight w:val="none"/>
          <w:lang w:val="en-US" w:eastAsia="zh-CN"/>
        </w:rPr>
        <w:t>78.76</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在职职工养老保险缴费</w:t>
      </w:r>
      <w:r>
        <w:rPr>
          <w:rFonts w:hint="eastAsia" w:ascii="仿宋_GB2312" w:eastAsia="仿宋_GB2312"/>
          <w:color w:val="auto"/>
          <w:sz w:val="32"/>
          <w:szCs w:val="32"/>
          <w:highlight w:val="none"/>
        </w:rPr>
        <w:t>。</w:t>
      </w:r>
    </w:p>
    <w:p>
      <w:pPr>
        <w:pStyle w:val="5"/>
        <w:keepNext w:val="0"/>
        <w:keepLines w:val="0"/>
        <w:pageBreakBefore w:val="0"/>
        <w:widowControl w:val="0"/>
        <w:kinsoku/>
        <w:wordWrap/>
        <w:overflowPunct/>
        <w:topLinePunct w:val="0"/>
        <w:bidi w:val="0"/>
        <w:adjustRightInd/>
        <w:snapToGrid/>
        <w:spacing w:line="592" w:lineRule="exact"/>
        <w:ind w:left="0" w:leftChars="0" w:firstLine="640" w:firstLineChars="200"/>
        <w:jc w:val="both"/>
        <w:textAlignment w:val="auto"/>
        <w:rPr>
          <w:rFonts w:hint="eastAsia"/>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社会保障和就业（</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机关事业单位职业年金缴费支出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年预算数为</w:t>
      </w:r>
      <w:r>
        <w:rPr>
          <w:rFonts w:hint="default" w:ascii="Times New Roman" w:hAnsi="Times New Roman" w:eastAsia="仿宋_GB2312" w:cs="Times New Roman"/>
          <w:color w:val="auto"/>
          <w:sz w:val="32"/>
          <w:szCs w:val="32"/>
          <w:highlight w:val="none"/>
          <w:lang w:val="en-US" w:eastAsia="zh-CN"/>
        </w:rPr>
        <w:t>11.11</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事业人员职业年金缴费</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卫生健康（</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）行政单位医疗（</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年预算数为</w:t>
      </w:r>
      <w:r>
        <w:rPr>
          <w:rFonts w:hint="default" w:ascii="Times New Roman" w:hAnsi="Times New Roman" w:eastAsia="仿宋_GB2312" w:cs="Times New Roman"/>
          <w:color w:val="auto"/>
          <w:sz w:val="32"/>
          <w:szCs w:val="32"/>
          <w:highlight w:val="none"/>
          <w:lang w:val="en-US" w:eastAsia="zh-CN"/>
        </w:rPr>
        <w:t>33.07</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机关在职职工基本医疗保险缴费</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卫生健康（</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）行政单位医疗（</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年预算数为</w:t>
      </w:r>
      <w:r>
        <w:rPr>
          <w:rFonts w:hint="default" w:ascii="Times New Roman" w:hAnsi="Times New Roman" w:eastAsia="仿宋_GB2312" w:cs="Times New Roman"/>
          <w:color w:val="auto"/>
          <w:sz w:val="32"/>
          <w:szCs w:val="32"/>
          <w:highlight w:val="none"/>
          <w:lang w:val="en-US" w:eastAsia="zh-CN"/>
        </w:rPr>
        <w:t>8.16</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事业单位在职职工基本医疗保险缴费</w:t>
      </w:r>
      <w:r>
        <w:rPr>
          <w:rFonts w:hint="eastAsia" w:ascii="仿宋_GB2312" w:eastAsia="仿宋_GB2312"/>
          <w:color w:val="auto"/>
          <w:sz w:val="32"/>
          <w:szCs w:val="32"/>
          <w:highlight w:val="none"/>
        </w:rPr>
        <w:t>。</w:t>
      </w:r>
    </w:p>
    <w:p>
      <w:pPr>
        <w:pStyle w:val="5"/>
        <w:keepNext w:val="0"/>
        <w:keepLines w:val="0"/>
        <w:pageBreakBefore w:val="0"/>
        <w:widowControl w:val="0"/>
        <w:kinsoku/>
        <w:wordWrap/>
        <w:overflowPunct/>
        <w:topLinePunct w:val="0"/>
        <w:bidi w:val="0"/>
        <w:adjustRightInd/>
        <w:snapToGrid/>
        <w:spacing w:line="592" w:lineRule="exact"/>
        <w:ind w:left="0" w:leftChars="0" w:firstLine="640" w:firstLineChars="200"/>
        <w:jc w:val="both"/>
        <w:textAlignment w:val="auto"/>
        <w:rPr>
          <w:rFonts w:hint="eastAsia"/>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卫生健康（</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）行政单位医疗（</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年预算数为</w:t>
      </w:r>
      <w:r>
        <w:rPr>
          <w:rFonts w:hint="default" w:ascii="Times New Roman" w:hAnsi="Times New Roman" w:eastAsia="仿宋_GB2312" w:cs="Times New Roman"/>
          <w:color w:val="auto"/>
          <w:sz w:val="32"/>
          <w:szCs w:val="32"/>
          <w:highlight w:val="none"/>
          <w:lang w:val="en-US" w:eastAsia="zh-CN"/>
        </w:rPr>
        <w:t>4.2</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公务员医疗补充缴费</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adjustRightInd/>
        <w:snapToGrid/>
        <w:spacing w:line="592" w:lineRule="exact"/>
        <w:ind w:firstLine="640" w:firstLineChars="200"/>
        <w:jc w:val="both"/>
        <w:textAlignment w:val="auto"/>
        <w:rPr>
          <w:rFonts w:hint="eastAsia" w:ascii="仿宋_GB2312" w:eastAsia="仿宋_GB2312"/>
          <w:color w:val="0000FF"/>
          <w:sz w:val="32"/>
          <w:szCs w:val="32"/>
        </w:rPr>
      </w:pP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highlight w:val="none"/>
        </w:rPr>
        <w:t>住房保障（</w:t>
      </w:r>
      <w:r>
        <w:rPr>
          <w:rFonts w:hint="eastAsia" w:eastAsia="仿宋_GB2312" w:cs="Times New Roman"/>
          <w:color w:val="auto"/>
          <w:sz w:val="32"/>
          <w:szCs w:val="32"/>
          <w:highlight w:val="none"/>
          <w:lang w:val="en-US" w:eastAsia="zh-CN"/>
        </w:rPr>
        <w:t>类</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住房改革支出</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款</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住房公积金</w:t>
      </w:r>
      <w:r>
        <w:rPr>
          <w:rFonts w:hint="eastAsia" w:ascii="仿宋_GB2312" w:eastAsia="仿宋_GB2312"/>
          <w:color w:val="auto"/>
          <w:sz w:val="32"/>
          <w:szCs w:val="32"/>
          <w:highlight w:val="none"/>
        </w:rPr>
        <w:t>（</w:t>
      </w:r>
      <w:r>
        <w:rPr>
          <w:rFonts w:hint="eastAsia" w:eastAsia="仿宋_GB2312" w:cs="Times New Roman"/>
          <w:color w:val="auto"/>
          <w:sz w:val="32"/>
          <w:szCs w:val="32"/>
          <w:highlight w:val="none"/>
          <w:lang w:val="en-US" w:eastAsia="zh-CN"/>
        </w:rPr>
        <w:t>项</w:t>
      </w:r>
      <w:r>
        <w:rPr>
          <w:rFonts w:hint="eastAsia" w:ascii="仿宋_GB2312" w:eastAsia="仿宋_GB2312"/>
          <w:color w:val="auto"/>
          <w:sz w:val="32"/>
          <w:szCs w:val="32"/>
          <w:highlight w:val="none"/>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年预算数为</w:t>
      </w:r>
      <w:r>
        <w:rPr>
          <w:rFonts w:hint="default" w:ascii="Times New Roman" w:hAnsi="Times New Roman" w:eastAsia="仿宋_GB2312" w:cs="Times New Roman"/>
          <w:color w:val="auto"/>
          <w:sz w:val="32"/>
          <w:szCs w:val="32"/>
          <w:highlight w:val="none"/>
          <w:lang w:val="en-US" w:eastAsia="zh-CN"/>
        </w:rPr>
        <w:t>58.9</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单位职工住房公积金缴费</w:t>
      </w:r>
      <w:r>
        <w:rPr>
          <w:rFonts w:hint="eastAsia" w:ascii="仿宋_GB2312" w:eastAsia="仿宋_GB2312"/>
          <w:color w:val="auto"/>
          <w:sz w:val="32"/>
          <w:szCs w:val="32"/>
          <w:highlight w:val="none"/>
        </w:rPr>
        <w:t>。</w:t>
      </w:r>
      <w:r>
        <w:rPr>
          <w:rFonts w:hint="eastAsia" w:ascii="仿宋_GB2312" w:eastAsia="仿宋_GB2312"/>
          <w:color w:val="auto"/>
          <w:sz w:val="32"/>
          <w:szCs w:val="32"/>
        </w:rPr>
        <w:t>　</w:t>
      </w:r>
    </w:p>
    <w:p>
      <w:pPr>
        <w:pStyle w:val="4"/>
        <w:pageBreakBefore w:val="0"/>
        <w:widowControl w:val="0"/>
        <w:kinsoku/>
        <w:wordWrap/>
        <w:overflowPunct/>
        <w:topLinePunct w:val="0"/>
        <w:bidi w:val="0"/>
        <w:spacing w:line="580" w:lineRule="exact"/>
        <w:ind w:firstLine="640" w:firstLineChars="200"/>
        <w:textAlignment w:val="auto"/>
        <w:rPr>
          <w:rFonts w:hint="eastAsia" w:ascii="黑体" w:hAnsi="Times New Roman" w:eastAsia="黑体" w:cs="Times New Roman"/>
          <w:b w:val="0"/>
          <w:bCs w:val="0"/>
          <w:sz w:val="32"/>
          <w:szCs w:val="32"/>
        </w:rPr>
      </w:pPr>
      <w:bookmarkStart w:id="12" w:name="_Toc72430489"/>
      <w:r>
        <w:rPr>
          <w:rFonts w:hint="eastAsia" w:ascii="黑体" w:hAnsi="Times New Roman" w:eastAsia="黑体" w:cs="Times New Roman"/>
          <w:b w:val="0"/>
          <w:bCs w:val="0"/>
          <w:sz w:val="32"/>
          <w:szCs w:val="32"/>
        </w:rPr>
        <w:t>六、一般公共预算基本支出情况说明</w:t>
      </w:r>
      <w:bookmarkEnd w:id="12"/>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eastAsia="zh-CN"/>
        </w:rPr>
        <w:t>中共自贡市委政法委员会</w:t>
      </w:r>
      <w:r>
        <w:rPr>
          <w:rFonts w:hint="eastAsia" w:ascii="仿宋_GB2312" w:eastAsia="仿宋_GB2312"/>
          <w:color w:val="auto"/>
          <w:sz w:val="32"/>
          <w:szCs w:val="32"/>
          <w:lang w:eastAsia="zh-CN"/>
        </w:rPr>
        <w:t>部门</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eastAsia" w:ascii="仿宋_GB2312" w:eastAsia="仿宋_GB2312"/>
          <w:color w:val="auto"/>
          <w:sz w:val="32"/>
          <w:szCs w:val="32"/>
        </w:rPr>
        <w:t>年一般公共预算基本支出</w:t>
      </w:r>
      <w:r>
        <w:rPr>
          <w:rFonts w:hint="default" w:ascii="Times New Roman" w:hAnsi="Times New Roman" w:eastAsia="仿宋_GB2312" w:cs="Times New Roman"/>
          <w:color w:val="auto"/>
          <w:sz w:val="32"/>
          <w:szCs w:val="32"/>
          <w:lang w:val="en-US" w:eastAsia="zh-CN"/>
        </w:rPr>
        <w:t>1221.57</w:t>
      </w:r>
      <w:r>
        <w:rPr>
          <w:rFonts w:hint="eastAsia" w:ascii="仿宋_GB2312" w:eastAsia="仿宋_GB2312"/>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eastAsia="仿宋_GB2312"/>
          <w:color w:val="0000FF"/>
          <w:sz w:val="32"/>
          <w:szCs w:val="32"/>
        </w:rPr>
      </w:pPr>
      <w:r>
        <w:rPr>
          <w:rFonts w:hint="eastAsia" w:ascii="仿宋_GB2312" w:eastAsia="仿宋_GB2312"/>
          <w:color w:val="auto"/>
          <w:sz w:val="32"/>
          <w:szCs w:val="32"/>
        </w:rPr>
        <w:t>人员经费</w:t>
      </w:r>
      <w:r>
        <w:rPr>
          <w:rFonts w:hint="default" w:ascii="Times New Roman" w:hAnsi="Times New Roman" w:eastAsia="仿宋_GB2312" w:cs="Times New Roman"/>
          <w:color w:val="auto"/>
          <w:sz w:val="32"/>
          <w:szCs w:val="32"/>
          <w:lang w:val="en-US" w:eastAsia="zh-CN"/>
        </w:rPr>
        <w:t>737.58</w:t>
      </w:r>
      <w:r>
        <w:rPr>
          <w:rFonts w:hint="eastAsia" w:ascii="仿宋_GB2312" w:eastAsia="仿宋_GB2312"/>
          <w:color w:val="auto"/>
          <w:sz w:val="32"/>
          <w:szCs w:val="32"/>
        </w:rPr>
        <w:t>万元，主要包括：基本工资、津贴补贴、奖金、机关事业单位基本养老保险缴费、职工基本医疗保险缴费</w:t>
      </w:r>
      <w:r>
        <w:rPr>
          <w:rFonts w:hint="eastAsia" w:ascii="仿宋_GB2312" w:eastAsia="仿宋_GB2312"/>
          <w:color w:val="auto"/>
          <w:sz w:val="32"/>
          <w:szCs w:val="32"/>
          <w:lang w:eastAsia="zh-CN"/>
        </w:rPr>
        <w:t>、公务员医疗补助缴费、工伤保险、编外人员经费</w:t>
      </w:r>
      <w:r>
        <w:rPr>
          <w:rFonts w:hint="eastAsia" w:ascii="仿宋_GB2312" w:eastAsia="仿宋_GB2312"/>
          <w:color w:val="auto"/>
          <w:sz w:val="32"/>
          <w:szCs w:val="32"/>
        </w:rPr>
        <w:t>支出。</w:t>
      </w:r>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hint="eastAsia" w:ascii="仿宋_GB2312" w:eastAsia="仿宋_GB2312"/>
          <w:color w:val="0000FF"/>
          <w:sz w:val="32"/>
          <w:szCs w:val="32"/>
        </w:rPr>
      </w:pPr>
      <w:r>
        <w:rPr>
          <w:rFonts w:hint="eastAsia" w:ascii="仿宋_GB2312" w:eastAsia="仿宋_GB2312"/>
          <w:color w:val="auto"/>
          <w:sz w:val="32"/>
          <w:szCs w:val="32"/>
        </w:rPr>
        <w:t>公用经费</w:t>
      </w:r>
      <w:r>
        <w:rPr>
          <w:rFonts w:hint="default" w:ascii="Times New Roman" w:hAnsi="Times New Roman" w:eastAsia="仿宋_GB2312" w:cs="Times New Roman"/>
          <w:color w:val="auto"/>
          <w:sz w:val="32"/>
          <w:szCs w:val="32"/>
          <w:lang w:val="en-US" w:eastAsia="zh-CN"/>
        </w:rPr>
        <w:t>159.92</w:t>
      </w:r>
      <w:r>
        <w:rPr>
          <w:rFonts w:hint="eastAsia" w:ascii="仿宋_GB2312" w:eastAsia="仿宋_GB2312"/>
          <w:color w:val="auto"/>
          <w:sz w:val="32"/>
          <w:szCs w:val="32"/>
        </w:rPr>
        <w:t>万元，主要包括：办公费、印刷费、</w:t>
      </w:r>
      <w:r>
        <w:rPr>
          <w:rFonts w:hint="eastAsia" w:ascii="仿宋_GB2312" w:eastAsia="仿宋_GB2312"/>
          <w:color w:val="auto"/>
          <w:sz w:val="32"/>
          <w:szCs w:val="32"/>
          <w:lang w:eastAsia="zh-CN"/>
        </w:rPr>
        <w:t>咨询费、</w:t>
      </w:r>
      <w:r>
        <w:rPr>
          <w:rFonts w:hint="eastAsia" w:ascii="仿宋_GB2312" w:eastAsia="仿宋_GB2312"/>
          <w:color w:val="auto"/>
          <w:sz w:val="32"/>
          <w:szCs w:val="32"/>
        </w:rPr>
        <w:t>手续费、水费、电费、邮电费、</w:t>
      </w:r>
      <w:r>
        <w:rPr>
          <w:rFonts w:hint="eastAsia" w:ascii="仿宋_GB2312" w:eastAsia="仿宋_GB2312"/>
          <w:color w:val="auto"/>
          <w:sz w:val="32"/>
          <w:szCs w:val="32"/>
          <w:lang w:eastAsia="zh-CN"/>
        </w:rPr>
        <w:t>物业管理费、</w:t>
      </w:r>
      <w:r>
        <w:rPr>
          <w:rFonts w:hint="eastAsia" w:ascii="仿宋_GB2312" w:eastAsia="仿宋_GB2312"/>
          <w:color w:val="auto"/>
          <w:sz w:val="32"/>
          <w:szCs w:val="32"/>
        </w:rPr>
        <w:t>差旅费、维修（护）费、</w:t>
      </w:r>
      <w:r>
        <w:rPr>
          <w:rFonts w:hint="eastAsia" w:ascii="仿宋_GB2312" w:eastAsia="仿宋_GB2312"/>
          <w:color w:val="auto"/>
          <w:sz w:val="32"/>
          <w:szCs w:val="32"/>
          <w:lang w:eastAsia="zh-CN"/>
        </w:rPr>
        <w:t>租赁费、</w:t>
      </w:r>
      <w:r>
        <w:rPr>
          <w:rFonts w:hint="eastAsia" w:ascii="仿宋_GB2312" w:eastAsia="仿宋_GB2312"/>
          <w:color w:val="auto"/>
          <w:sz w:val="32"/>
          <w:szCs w:val="32"/>
        </w:rPr>
        <w:t>会议费、</w:t>
      </w:r>
      <w:r>
        <w:rPr>
          <w:rFonts w:hint="eastAsia" w:ascii="仿宋_GB2312" w:eastAsia="仿宋_GB2312"/>
          <w:color w:val="auto"/>
          <w:sz w:val="32"/>
          <w:szCs w:val="32"/>
          <w:lang w:eastAsia="zh-CN"/>
        </w:rPr>
        <w:t>公务接待费、</w:t>
      </w:r>
      <w:r>
        <w:rPr>
          <w:rFonts w:hint="eastAsia" w:ascii="仿宋_GB2312" w:eastAsia="仿宋_GB2312"/>
          <w:color w:val="auto"/>
          <w:sz w:val="32"/>
          <w:szCs w:val="32"/>
        </w:rPr>
        <w:t>劳务费</w:t>
      </w:r>
      <w:r>
        <w:rPr>
          <w:rFonts w:hint="eastAsia" w:ascii="仿宋_GB2312" w:eastAsia="仿宋_GB2312"/>
          <w:color w:val="auto"/>
          <w:sz w:val="32"/>
          <w:szCs w:val="32"/>
          <w:lang w:eastAsia="zh-CN"/>
        </w:rPr>
        <w:t>、委托业务费、工会经费、公务用车运行维护费、公务交通补贴、退休人员活动费、其他商品和服务</w:t>
      </w:r>
      <w:r>
        <w:rPr>
          <w:rFonts w:hint="eastAsia" w:ascii="仿宋_GB2312" w:eastAsia="仿宋_GB2312"/>
          <w:color w:val="auto"/>
          <w:sz w:val="32"/>
          <w:szCs w:val="32"/>
        </w:rPr>
        <w:t>等支出。</w:t>
      </w:r>
    </w:p>
    <w:p>
      <w:pPr>
        <w:pStyle w:val="4"/>
        <w:pageBreakBefore w:val="0"/>
        <w:widowControl w:val="0"/>
        <w:kinsoku/>
        <w:wordWrap/>
        <w:overflowPunct/>
        <w:topLinePunct w:val="0"/>
        <w:bidi w:val="0"/>
        <w:spacing w:line="580" w:lineRule="exact"/>
        <w:ind w:firstLine="640" w:firstLineChars="200"/>
        <w:textAlignment w:val="auto"/>
        <w:rPr>
          <w:rFonts w:hint="eastAsia" w:ascii="黑体" w:hAnsi="Times New Roman" w:eastAsia="黑体" w:cs="Times New Roman"/>
          <w:b w:val="0"/>
          <w:bCs w:val="0"/>
          <w:sz w:val="32"/>
          <w:szCs w:val="32"/>
          <w:lang w:val="en-US" w:eastAsia="zh-CN"/>
        </w:rPr>
      </w:pPr>
      <w:bookmarkStart w:id="13" w:name="_Toc72430490"/>
      <w:r>
        <w:rPr>
          <w:rFonts w:hint="eastAsia" w:ascii="黑体" w:hAnsi="Times New Roman" w:eastAsia="黑体" w:cs="Times New Roman"/>
          <w:b w:val="0"/>
          <w:bCs w:val="0"/>
          <w:sz w:val="32"/>
          <w:szCs w:val="32"/>
        </w:rPr>
        <w:t>七、“三公”经费财政拨款预算安排情况</w:t>
      </w:r>
      <w:bookmarkEnd w:id="13"/>
    </w:p>
    <w:p>
      <w:pPr>
        <w:keepNext w:val="0"/>
        <w:keepLines w:val="0"/>
        <w:pageBreakBefore w:val="0"/>
        <w:widowControl w:val="0"/>
        <w:kinsoku/>
        <w:wordWrap/>
        <w:overflowPunct/>
        <w:topLinePunct w:val="0"/>
        <w:bidi w:val="0"/>
        <w:adjustRightInd/>
        <w:snapToGrid/>
        <w:spacing w:line="592" w:lineRule="exact"/>
        <w:ind w:firstLine="640" w:firstLineChars="200"/>
        <w:jc w:val="both"/>
        <w:textAlignment w:val="auto"/>
        <w:rPr>
          <w:rFonts w:hint="eastAsia" w:ascii="仿宋_GB2312" w:eastAsia="仿宋_GB2312"/>
          <w:color w:val="FF0000"/>
          <w:sz w:val="32"/>
          <w:szCs w:val="32"/>
          <w:highlight w:val="none"/>
        </w:rPr>
      </w:pPr>
      <w:r>
        <w:rPr>
          <w:rFonts w:hint="eastAsia" w:ascii="仿宋_GB2312" w:hAnsi="仿宋_GB2312" w:eastAsia="仿宋_GB2312" w:cs="仿宋_GB2312"/>
          <w:b w:val="0"/>
          <w:bCs w:val="0"/>
          <w:color w:val="auto"/>
          <w:sz w:val="32"/>
          <w:szCs w:val="32"/>
          <w:lang w:eastAsia="zh-CN"/>
        </w:rPr>
        <w:t>中共自贡市委政法委员会</w:t>
      </w:r>
      <w:r>
        <w:rPr>
          <w:rFonts w:hint="eastAsia" w:ascii="仿宋_GB2312" w:eastAsia="仿宋_GB2312"/>
          <w:sz w:val="32"/>
          <w:szCs w:val="32"/>
          <w:highlight w:val="none"/>
          <w:lang w:eastAsia="zh-CN"/>
        </w:rPr>
        <w:t>部门</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4</w:t>
      </w:r>
      <w:r>
        <w:rPr>
          <w:rFonts w:hint="eastAsia" w:ascii="仿宋_GB2312" w:eastAsia="仿宋_GB2312"/>
          <w:sz w:val="32"/>
          <w:szCs w:val="32"/>
          <w:highlight w:val="none"/>
        </w:rPr>
        <w:t>年</w:t>
      </w:r>
      <w:r>
        <w:rPr>
          <w:rFonts w:hint="eastAsia" w:ascii="仿宋_GB2312" w:hAnsi="仿宋_GB2312" w:eastAsia="仿宋_GB2312" w:cs="仿宋_GB2312"/>
          <w:sz w:val="32"/>
          <w:szCs w:val="32"/>
          <w:highlight w:val="none"/>
        </w:rPr>
        <w:t>“</w:t>
      </w:r>
      <w:r>
        <w:rPr>
          <w:rFonts w:hint="eastAsia" w:ascii="仿宋_GB2312" w:eastAsia="仿宋_GB2312"/>
          <w:sz w:val="32"/>
          <w:szCs w:val="32"/>
          <w:highlight w:val="none"/>
        </w:rPr>
        <w:t>三公</w:t>
      </w:r>
      <w:r>
        <w:rPr>
          <w:rFonts w:hint="eastAsia" w:ascii="仿宋_GB2312" w:hAnsi="仿宋_GB2312" w:eastAsia="仿宋_GB2312" w:cs="仿宋_GB2312"/>
          <w:sz w:val="32"/>
          <w:szCs w:val="32"/>
          <w:highlight w:val="none"/>
        </w:rPr>
        <w:t>”</w:t>
      </w:r>
      <w:r>
        <w:rPr>
          <w:rFonts w:hint="eastAsia" w:ascii="仿宋_GB2312" w:eastAsia="仿宋_GB2312"/>
          <w:sz w:val="32"/>
          <w:szCs w:val="32"/>
          <w:highlight w:val="none"/>
        </w:rPr>
        <w:t>经费财政拨款预算数</w:t>
      </w:r>
      <w:r>
        <w:rPr>
          <w:rFonts w:hint="default" w:ascii="Times New Roman" w:hAnsi="Times New Roman" w:eastAsia="仿宋_GB2312" w:cs="Times New Roman"/>
          <w:sz w:val="32"/>
          <w:szCs w:val="32"/>
          <w:highlight w:val="none"/>
          <w:lang w:val="en-US" w:eastAsia="zh-CN"/>
        </w:rPr>
        <w:t>11.16</w:t>
      </w:r>
      <w:r>
        <w:rPr>
          <w:rFonts w:hint="eastAsia" w:ascii="仿宋_GB2312" w:eastAsia="仿宋_GB2312"/>
          <w:sz w:val="32"/>
          <w:szCs w:val="32"/>
          <w:highlight w:val="none"/>
        </w:rPr>
        <w:t>万元，</w:t>
      </w:r>
      <w:r>
        <w:rPr>
          <w:rFonts w:hint="eastAsia" w:ascii="仿宋_GB2312" w:eastAsia="仿宋_GB2312"/>
          <w:color w:val="auto"/>
          <w:sz w:val="32"/>
          <w:szCs w:val="32"/>
          <w:highlight w:val="none"/>
          <w:lang w:eastAsia="zh-CN"/>
        </w:rPr>
        <w:t>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23</w:t>
      </w:r>
      <w:r>
        <w:rPr>
          <w:rFonts w:hint="eastAsia" w:ascii="仿宋_GB2312" w:eastAsia="仿宋_GB2312"/>
          <w:color w:val="auto"/>
          <w:sz w:val="32"/>
          <w:szCs w:val="32"/>
          <w:highlight w:val="none"/>
        </w:rPr>
        <w:t>年预算持平</w:t>
      </w:r>
      <w:r>
        <w:rPr>
          <w:rFonts w:hint="eastAsia" w:ascii="仿宋_GB2312" w:eastAsia="仿宋_GB2312"/>
          <w:color w:val="auto"/>
          <w:sz w:val="32"/>
          <w:szCs w:val="32"/>
          <w:highlight w:val="none"/>
          <w:lang w:val="en-US" w:eastAsia="zh-CN"/>
        </w:rPr>
        <w:t>。</w:t>
      </w:r>
      <w:r>
        <w:rPr>
          <w:rFonts w:ascii="仿宋_GB2312" w:eastAsia="仿宋_GB2312"/>
          <w:color w:val="auto"/>
          <w:sz w:val="32"/>
          <w:szCs w:val="32"/>
          <w:highlight w:val="none"/>
        </w:rPr>
        <w:t>其中：</w:t>
      </w:r>
      <w:r>
        <w:rPr>
          <w:rFonts w:hint="eastAsia" w:ascii="仿宋_GB2312" w:eastAsia="仿宋_GB2312"/>
          <w:color w:val="auto"/>
          <w:sz w:val="32"/>
          <w:szCs w:val="32"/>
          <w:highlight w:val="none"/>
        </w:rPr>
        <w:t>因公出国（境）经费</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万元，公务接待费</w:t>
      </w:r>
      <w:r>
        <w:rPr>
          <w:rFonts w:hint="default" w:ascii="Times New Roman" w:hAnsi="Times New Roman" w:eastAsia="仿宋_GB2312" w:cs="Times New Roman"/>
          <w:color w:val="auto"/>
          <w:sz w:val="32"/>
          <w:szCs w:val="32"/>
          <w:highlight w:val="none"/>
          <w:lang w:val="en-US" w:eastAsia="zh-CN"/>
        </w:rPr>
        <w:t>3.98</w:t>
      </w:r>
      <w:r>
        <w:rPr>
          <w:rFonts w:hint="eastAsia" w:ascii="仿宋_GB2312" w:eastAsia="仿宋_GB2312"/>
          <w:color w:val="auto"/>
          <w:sz w:val="32"/>
          <w:szCs w:val="32"/>
          <w:highlight w:val="none"/>
        </w:rPr>
        <w:t>万元，公务用车购置及运行维护</w:t>
      </w:r>
      <w:r>
        <w:rPr>
          <w:rFonts w:hint="eastAsia" w:ascii="仿宋_GB2312" w:eastAsia="仿宋_GB2312"/>
          <w:color w:val="auto"/>
          <w:spacing w:val="-6"/>
          <w:sz w:val="32"/>
          <w:szCs w:val="32"/>
          <w:highlight w:val="none"/>
        </w:rPr>
        <w:t>费</w:t>
      </w:r>
      <w:r>
        <w:rPr>
          <w:rFonts w:hint="default" w:ascii="Times New Roman" w:hAnsi="Times New Roman" w:eastAsia="仿宋_GB2312" w:cs="Times New Roman"/>
          <w:color w:val="auto"/>
          <w:spacing w:val="-6"/>
          <w:sz w:val="32"/>
          <w:szCs w:val="32"/>
          <w:highlight w:val="none"/>
          <w:lang w:val="en-US" w:eastAsia="zh-CN"/>
        </w:rPr>
        <w:t>7.18</w:t>
      </w:r>
      <w:r>
        <w:rPr>
          <w:rFonts w:hint="eastAsia" w:ascii="仿宋_GB2312" w:eastAsia="仿宋_GB2312"/>
          <w:color w:val="auto"/>
          <w:spacing w:val="-6"/>
          <w:sz w:val="32"/>
          <w:szCs w:val="32"/>
          <w:highlight w:val="none"/>
        </w:rPr>
        <w:t>万元（公务</w:t>
      </w:r>
      <w:r>
        <w:rPr>
          <w:rFonts w:ascii="仿宋_GB2312" w:eastAsia="仿宋_GB2312"/>
          <w:color w:val="auto"/>
          <w:spacing w:val="-6"/>
          <w:sz w:val="32"/>
          <w:szCs w:val="32"/>
          <w:highlight w:val="none"/>
        </w:rPr>
        <w:t>用车购置费</w:t>
      </w:r>
      <w:r>
        <w:rPr>
          <w:rFonts w:hint="default" w:ascii="Times New Roman" w:hAnsi="Times New Roman" w:eastAsia="仿宋_GB2312" w:cs="Times New Roman"/>
          <w:color w:val="auto"/>
          <w:spacing w:val="-6"/>
          <w:sz w:val="32"/>
          <w:szCs w:val="32"/>
          <w:highlight w:val="none"/>
          <w:lang w:val="en-US" w:eastAsia="zh-CN"/>
        </w:rPr>
        <w:t>0</w:t>
      </w:r>
      <w:r>
        <w:rPr>
          <w:rFonts w:hint="eastAsia" w:ascii="仿宋_GB2312" w:eastAsia="仿宋_GB2312"/>
          <w:color w:val="auto"/>
          <w:spacing w:val="-6"/>
          <w:sz w:val="32"/>
          <w:szCs w:val="32"/>
          <w:highlight w:val="none"/>
        </w:rPr>
        <w:t>万元</w:t>
      </w:r>
      <w:r>
        <w:rPr>
          <w:rFonts w:ascii="仿宋_GB2312" w:eastAsia="仿宋_GB2312"/>
          <w:color w:val="auto"/>
          <w:spacing w:val="-6"/>
          <w:sz w:val="32"/>
          <w:szCs w:val="32"/>
          <w:highlight w:val="none"/>
        </w:rPr>
        <w:t>，公务用车运行费</w:t>
      </w:r>
      <w:r>
        <w:rPr>
          <w:rFonts w:hint="default" w:ascii="Times New Roman" w:hAnsi="Times New Roman" w:eastAsia="仿宋_GB2312" w:cs="Times New Roman"/>
          <w:color w:val="auto"/>
          <w:spacing w:val="-6"/>
          <w:sz w:val="32"/>
          <w:szCs w:val="32"/>
          <w:highlight w:val="none"/>
          <w:lang w:val="en-US" w:eastAsia="zh-CN"/>
        </w:rPr>
        <w:t>7.18</w:t>
      </w:r>
      <w:r>
        <w:rPr>
          <w:rFonts w:hint="eastAsia" w:ascii="仿宋_GB2312" w:eastAsia="仿宋_GB2312"/>
          <w:color w:val="auto"/>
          <w:spacing w:val="-6"/>
          <w:sz w:val="32"/>
          <w:szCs w:val="32"/>
          <w:highlight w:val="none"/>
        </w:rPr>
        <w:t>万元）。</w:t>
      </w:r>
    </w:p>
    <w:p>
      <w:pPr>
        <w:keepNext w:val="0"/>
        <w:keepLines w:val="0"/>
        <w:pageBreakBefore w:val="0"/>
        <w:widowControl w:val="0"/>
        <w:numPr>
          <w:ilvl w:val="0"/>
          <w:numId w:val="1"/>
        </w:numPr>
        <w:kinsoku/>
        <w:wordWrap/>
        <w:overflowPunct/>
        <w:topLinePunct w:val="0"/>
        <w:bidi w:val="0"/>
        <w:adjustRightInd/>
        <w:snapToGrid/>
        <w:spacing w:line="592" w:lineRule="exact"/>
        <w:ind w:firstLine="640"/>
        <w:jc w:val="both"/>
        <w:textAlignment w:val="auto"/>
        <w:rPr>
          <w:rFonts w:hint="eastAsia" w:ascii="仿宋_GB2312" w:eastAsia="仿宋_GB2312"/>
          <w:b/>
          <w:bCs/>
          <w:color w:val="auto"/>
          <w:sz w:val="32"/>
          <w:szCs w:val="32"/>
          <w:highlight w:val="none"/>
        </w:rPr>
      </w:pPr>
      <w:r>
        <w:rPr>
          <w:rFonts w:hint="eastAsia" w:ascii="楷体_GB2312" w:hAnsi="楷体_GB2312" w:eastAsia="楷体_GB2312" w:cs="楷体_GB2312"/>
          <w:b w:val="0"/>
          <w:bCs w:val="0"/>
          <w:color w:val="auto"/>
          <w:kern w:val="2"/>
          <w:sz w:val="32"/>
          <w:szCs w:val="32"/>
          <w:lang w:val="en-US" w:eastAsia="zh-CN" w:bidi="ar-SA"/>
        </w:rPr>
        <w:t>因公出国（境）经费</w:t>
      </w:r>
      <w:r>
        <w:rPr>
          <w:rFonts w:hint="default" w:ascii="Times New Roman" w:hAnsi="Times New Roman" w:eastAsia="楷体_GB2312" w:cs="Times New Roman"/>
          <w:b w:val="0"/>
          <w:bCs w:val="0"/>
          <w:color w:val="auto"/>
          <w:kern w:val="2"/>
          <w:sz w:val="32"/>
          <w:szCs w:val="32"/>
          <w:lang w:val="en-US" w:eastAsia="zh-CN" w:bidi="ar-SA"/>
        </w:rPr>
        <w:t>0</w:t>
      </w:r>
      <w:r>
        <w:rPr>
          <w:rFonts w:hint="eastAsia" w:ascii="楷体_GB2312" w:hAnsi="楷体_GB2312" w:eastAsia="楷体_GB2312" w:cs="楷体_GB2312"/>
          <w:b w:val="0"/>
          <w:bCs w:val="0"/>
          <w:color w:val="auto"/>
          <w:kern w:val="2"/>
          <w:sz w:val="32"/>
          <w:szCs w:val="32"/>
          <w:lang w:val="en-US" w:eastAsia="zh-CN" w:bidi="ar-SA"/>
        </w:rPr>
        <w:t>万元，</w:t>
      </w:r>
      <w:r>
        <w:rPr>
          <w:rFonts w:hint="eastAsia" w:ascii="仿宋_GB2312" w:eastAsia="仿宋_GB2312"/>
          <w:color w:val="auto"/>
          <w:sz w:val="32"/>
          <w:szCs w:val="32"/>
          <w:highlight w:val="none"/>
        </w:rPr>
        <w:t>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3年</w:t>
      </w:r>
      <w:r>
        <w:rPr>
          <w:rFonts w:hint="eastAsia" w:ascii="仿宋_GB2312" w:eastAsia="仿宋_GB2312"/>
          <w:color w:val="auto"/>
          <w:sz w:val="32"/>
          <w:szCs w:val="32"/>
          <w:highlight w:val="none"/>
        </w:rPr>
        <w:t>预算持平。</w:t>
      </w:r>
      <w:r>
        <w:rPr>
          <w:rFonts w:hint="default" w:ascii="Times New Roman" w:hAnsi="Times New Roman" w:eastAsia="仿宋_GB2312" w:cs="Times New Roman"/>
          <w:b/>
          <w:bCs/>
          <w:color w:val="auto"/>
          <w:sz w:val="32"/>
          <w:szCs w:val="32"/>
          <w:highlight w:val="none"/>
        </w:rPr>
        <w:t>202</w:t>
      </w:r>
      <w:r>
        <w:rPr>
          <w:rFonts w:hint="default" w:ascii="Times New Roman" w:hAnsi="Times New Roman" w:eastAsia="仿宋_GB2312" w:cs="Times New Roman"/>
          <w:b/>
          <w:bCs/>
          <w:color w:val="auto"/>
          <w:sz w:val="32"/>
          <w:szCs w:val="32"/>
          <w:highlight w:val="none"/>
          <w:lang w:val="en-US" w:eastAsia="zh-CN"/>
        </w:rPr>
        <w:t>4</w:t>
      </w:r>
      <w:r>
        <w:rPr>
          <w:rFonts w:hint="eastAsia" w:ascii="仿宋_GB2312" w:eastAsia="仿宋_GB2312"/>
          <w:b/>
          <w:bCs/>
          <w:color w:val="auto"/>
          <w:sz w:val="32"/>
          <w:szCs w:val="32"/>
          <w:highlight w:val="none"/>
        </w:rPr>
        <w:t>年拟安排出国（境）</w:t>
      </w:r>
      <w:r>
        <w:rPr>
          <w:rFonts w:hint="eastAsia" w:ascii="仿宋_GB2312" w:eastAsia="仿宋_GB2312"/>
          <w:b/>
          <w:bCs/>
          <w:color w:val="auto"/>
          <w:sz w:val="32"/>
          <w:szCs w:val="32"/>
          <w:highlight w:val="none"/>
          <w:lang w:val="en-US" w:eastAsia="zh-CN"/>
        </w:rPr>
        <w:t>团组</w:t>
      </w:r>
      <w:r>
        <w:rPr>
          <w:rFonts w:hint="default" w:ascii="Times New Roman" w:hAnsi="Times New Roman" w:eastAsia="仿宋_GB2312" w:cs="Times New Roman"/>
          <w:b/>
          <w:bCs/>
          <w:color w:val="auto"/>
          <w:sz w:val="32"/>
          <w:szCs w:val="32"/>
          <w:highlight w:val="none"/>
          <w:lang w:val="en-US" w:eastAsia="zh-CN"/>
        </w:rPr>
        <w:t>0</w:t>
      </w:r>
      <w:r>
        <w:rPr>
          <w:rFonts w:hint="eastAsia" w:ascii="仿宋_GB2312" w:eastAsia="仿宋_GB2312"/>
          <w:b/>
          <w:bCs/>
          <w:color w:val="auto"/>
          <w:sz w:val="32"/>
          <w:szCs w:val="32"/>
          <w:highlight w:val="none"/>
          <w:lang w:val="en-US" w:eastAsia="zh-CN"/>
        </w:rPr>
        <w:t>个，</w:t>
      </w:r>
      <w:r>
        <w:rPr>
          <w:rFonts w:hint="default" w:ascii="Times New Roman" w:hAnsi="Times New Roman" w:eastAsia="仿宋_GB2312" w:cs="Times New Roman"/>
          <w:b/>
          <w:bCs/>
          <w:color w:val="auto"/>
          <w:sz w:val="32"/>
          <w:szCs w:val="32"/>
          <w:highlight w:val="none"/>
          <w:lang w:val="en-US" w:eastAsia="zh-CN"/>
        </w:rPr>
        <w:t>0</w:t>
      </w:r>
      <w:r>
        <w:rPr>
          <w:rFonts w:hint="eastAsia" w:ascii="仿宋_GB2312" w:eastAsia="仿宋_GB2312"/>
          <w:b/>
          <w:bCs/>
          <w:color w:val="auto"/>
          <w:sz w:val="32"/>
          <w:szCs w:val="32"/>
          <w:highlight w:val="none"/>
        </w:rPr>
        <w:t>人次。</w:t>
      </w:r>
    </w:p>
    <w:p>
      <w:pPr>
        <w:keepNext w:val="0"/>
        <w:keepLines w:val="0"/>
        <w:pageBreakBefore w:val="0"/>
        <w:widowControl w:val="0"/>
        <w:numPr>
          <w:ilvl w:val="0"/>
          <w:numId w:val="0"/>
        </w:numPr>
        <w:kinsoku/>
        <w:wordWrap/>
        <w:overflowPunct/>
        <w:topLinePunct w:val="0"/>
        <w:bidi w:val="0"/>
        <w:adjustRightInd/>
        <w:snapToGrid/>
        <w:spacing w:line="592" w:lineRule="exact"/>
        <w:ind w:firstLine="640" w:firstLineChars="200"/>
        <w:jc w:val="both"/>
        <w:textAlignment w:val="auto"/>
        <w:rPr>
          <w:rFonts w:hint="eastAsia" w:ascii="仿宋_GB2312" w:eastAsia="仿宋_GB2312"/>
          <w:b/>
          <w:color w:val="auto"/>
          <w:sz w:val="32"/>
          <w:szCs w:val="32"/>
          <w:highlight w:val="none"/>
        </w:rPr>
      </w:pPr>
      <w:r>
        <w:rPr>
          <w:rFonts w:hint="eastAsia" w:ascii="楷体_GB2312" w:hAnsi="楷体_GB2312" w:eastAsia="楷体_GB2312" w:cs="楷体_GB2312"/>
          <w:b w:val="0"/>
          <w:bCs w:val="0"/>
          <w:color w:val="auto"/>
          <w:kern w:val="2"/>
          <w:sz w:val="32"/>
          <w:szCs w:val="32"/>
          <w:lang w:val="en-US" w:eastAsia="zh-CN" w:bidi="ar-SA"/>
        </w:rPr>
        <w:t>（二）公务接待费</w:t>
      </w:r>
      <w:r>
        <w:rPr>
          <w:rFonts w:hint="default" w:ascii="Times New Roman" w:hAnsi="Times New Roman" w:eastAsia="楷体_GB2312" w:cs="Times New Roman"/>
          <w:b w:val="0"/>
          <w:bCs w:val="0"/>
          <w:color w:val="auto"/>
          <w:kern w:val="2"/>
          <w:sz w:val="32"/>
          <w:szCs w:val="32"/>
          <w:lang w:val="en-US" w:eastAsia="zh-CN" w:bidi="ar-SA"/>
        </w:rPr>
        <w:t>3.98</w:t>
      </w:r>
      <w:r>
        <w:rPr>
          <w:rFonts w:hint="eastAsia" w:ascii="楷体_GB2312" w:hAnsi="楷体_GB2312" w:eastAsia="楷体_GB2312" w:cs="楷体_GB2312"/>
          <w:b w:val="0"/>
          <w:bCs w:val="0"/>
          <w:color w:val="auto"/>
          <w:kern w:val="2"/>
          <w:sz w:val="32"/>
          <w:szCs w:val="32"/>
          <w:lang w:val="en-US" w:eastAsia="zh-CN" w:bidi="ar-SA"/>
        </w:rPr>
        <w:t>万元，较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23</w:t>
      </w:r>
      <w:r>
        <w:rPr>
          <w:rFonts w:hint="eastAsia" w:ascii="仿宋_GB2312" w:eastAsia="仿宋_GB2312"/>
          <w:color w:val="auto"/>
          <w:sz w:val="32"/>
          <w:szCs w:val="32"/>
          <w:highlight w:val="none"/>
        </w:rPr>
        <w:t>年预算持平。</w:t>
      </w:r>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eastAsia" w:ascii="仿宋_GB2312" w:eastAsia="仿宋_GB2312"/>
          <w:b/>
          <w:bCs/>
          <w:color w:val="auto"/>
          <w:sz w:val="32"/>
          <w:szCs w:val="32"/>
          <w:highlight w:val="none"/>
        </w:rPr>
      </w:pPr>
      <w:r>
        <w:rPr>
          <w:rFonts w:hint="default" w:ascii="Times New Roman" w:hAnsi="Times New Roman" w:eastAsia="仿宋_GB2312" w:cs="Times New Roman"/>
          <w:b/>
          <w:bCs/>
          <w:color w:val="auto"/>
          <w:sz w:val="32"/>
          <w:szCs w:val="32"/>
          <w:highlight w:val="none"/>
        </w:rPr>
        <w:t>20</w:t>
      </w:r>
      <w:r>
        <w:rPr>
          <w:rFonts w:hint="default" w:ascii="Times New Roman" w:hAnsi="Times New Roman" w:eastAsia="仿宋_GB2312" w:cs="Times New Roman"/>
          <w:b/>
          <w:bCs/>
          <w:color w:val="auto"/>
          <w:sz w:val="32"/>
          <w:szCs w:val="32"/>
          <w:highlight w:val="none"/>
          <w:lang w:val="en-US" w:eastAsia="zh-CN"/>
        </w:rPr>
        <w:t>24</w:t>
      </w:r>
      <w:r>
        <w:rPr>
          <w:rFonts w:hint="eastAsia" w:ascii="仿宋_GB2312" w:eastAsia="仿宋_GB2312"/>
          <w:b/>
          <w:bCs/>
          <w:color w:val="auto"/>
          <w:sz w:val="32"/>
          <w:szCs w:val="32"/>
          <w:highlight w:val="none"/>
        </w:rPr>
        <w:t>年公务接待费计划用于执行公务、考察调研、检查指导等公务活动开支</w:t>
      </w:r>
      <w:r>
        <w:rPr>
          <w:rFonts w:hint="eastAsia" w:ascii="仿宋_GB2312" w:eastAsia="仿宋_GB2312"/>
          <w:b/>
          <w:bCs/>
          <w:color w:val="auto"/>
          <w:sz w:val="32"/>
          <w:szCs w:val="32"/>
          <w:highlight w:val="none"/>
          <w:lang w:eastAsia="zh-CN"/>
        </w:rPr>
        <w:t>，</w:t>
      </w:r>
      <w:r>
        <w:rPr>
          <w:rFonts w:hint="eastAsia" w:ascii="仿宋_GB2312" w:eastAsia="仿宋_GB2312"/>
          <w:b/>
          <w:bCs/>
          <w:color w:val="auto"/>
          <w:sz w:val="32"/>
          <w:szCs w:val="32"/>
          <w:highlight w:val="none"/>
          <w:lang w:val="en-US" w:eastAsia="zh-CN"/>
        </w:rPr>
        <w:t>预计接待</w:t>
      </w:r>
      <w:r>
        <w:rPr>
          <w:rFonts w:hint="default" w:ascii="Times New Roman" w:hAnsi="Times New Roman" w:eastAsia="仿宋_GB2312" w:cs="Times New Roman"/>
          <w:b/>
          <w:bCs/>
          <w:color w:val="auto"/>
          <w:sz w:val="32"/>
          <w:szCs w:val="32"/>
          <w:highlight w:val="none"/>
          <w:lang w:val="en-US" w:eastAsia="zh-CN"/>
        </w:rPr>
        <w:t>30</w:t>
      </w:r>
      <w:r>
        <w:rPr>
          <w:rFonts w:hint="eastAsia" w:ascii="仿宋_GB2312" w:eastAsia="仿宋_GB2312"/>
          <w:b/>
          <w:bCs/>
          <w:color w:val="auto"/>
          <w:sz w:val="32"/>
          <w:szCs w:val="32"/>
          <w:highlight w:val="none"/>
          <w:lang w:val="en-US" w:eastAsia="zh-CN"/>
        </w:rPr>
        <w:t>批次，</w:t>
      </w:r>
      <w:r>
        <w:rPr>
          <w:rFonts w:hint="default" w:ascii="Times New Roman" w:hAnsi="Times New Roman" w:eastAsia="仿宋_GB2312" w:cs="Times New Roman"/>
          <w:b/>
          <w:bCs/>
          <w:color w:val="auto"/>
          <w:sz w:val="32"/>
          <w:szCs w:val="32"/>
          <w:highlight w:val="none"/>
          <w:lang w:val="en-US" w:eastAsia="zh-CN"/>
        </w:rPr>
        <w:t>260</w:t>
      </w:r>
      <w:r>
        <w:rPr>
          <w:rFonts w:hint="eastAsia" w:ascii="仿宋_GB2312" w:eastAsia="仿宋_GB2312"/>
          <w:b/>
          <w:bCs/>
          <w:color w:val="auto"/>
          <w:sz w:val="32"/>
          <w:szCs w:val="32"/>
          <w:highlight w:val="none"/>
        </w:rPr>
        <w:t>人次</w:t>
      </w:r>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eastAsia" w:ascii="仿宋_GB2312" w:eastAsia="仿宋_GB2312"/>
          <w:b/>
          <w:color w:val="auto"/>
          <w:sz w:val="32"/>
          <w:szCs w:val="32"/>
          <w:highlight w:val="none"/>
        </w:rPr>
      </w:pPr>
      <w:r>
        <w:rPr>
          <w:rFonts w:hint="eastAsia" w:ascii="楷体_GB2312" w:hAnsi="楷体_GB2312" w:eastAsia="楷体_GB2312" w:cs="楷体_GB2312"/>
          <w:b w:val="0"/>
          <w:bCs w:val="0"/>
          <w:color w:val="auto"/>
          <w:kern w:val="2"/>
          <w:sz w:val="32"/>
          <w:szCs w:val="32"/>
          <w:lang w:val="en-US" w:eastAsia="zh-CN" w:bidi="ar-SA"/>
        </w:rPr>
        <w:t>（三）公务用车购置及运行维护费</w:t>
      </w:r>
      <w:r>
        <w:rPr>
          <w:rFonts w:hint="default" w:ascii="Times New Roman" w:hAnsi="Times New Roman" w:eastAsia="楷体_GB2312" w:cs="Times New Roman"/>
          <w:b w:val="0"/>
          <w:bCs w:val="0"/>
          <w:color w:val="auto"/>
          <w:kern w:val="2"/>
          <w:sz w:val="32"/>
          <w:szCs w:val="32"/>
          <w:lang w:val="en-US" w:eastAsia="zh-CN" w:bidi="ar-SA"/>
        </w:rPr>
        <w:t>7.18</w:t>
      </w:r>
      <w:r>
        <w:rPr>
          <w:rFonts w:hint="eastAsia" w:ascii="楷体_GB2312" w:hAnsi="楷体_GB2312" w:eastAsia="楷体_GB2312" w:cs="楷体_GB2312"/>
          <w:b w:val="0"/>
          <w:bCs w:val="0"/>
          <w:color w:val="auto"/>
          <w:kern w:val="2"/>
          <w:sz w:val="32"/>
          <w:szCs w:val="32"/>
          <w:lang w:val="en-US" w:eastAsia="zh-CN" w:bidi="ar-SA"/>
        </w:rPr>
        <w:t>万元，</w:t>
      </w:r>
      <w:r>
        <w:rPr>
          <w:rFonts w:hint="eastAsia" w:ascii="仿宋_GB2312" w:eastAsia="仿宋_GB2312"/>
          <w:color w:val="auto"/>
          <w:sz w:val="32"/>
          <w:szCs w:val="32"/>
          <w:highlight w:val="none"/>
        </w:rPr>
        <w:t>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23</w:t>
      </w:r>
      <w:r>
        <w:rPr>
          <w:rFonts w:hint="eastAsia" w:ascii="仿宋_GB2312" w:eastAsia="仿宋_GB2312"/>
          <w:color w:val="auto"/>
          <w:sz w:val="32"/>
          <w:szCs w:val="32"/>
          <w:highlight w:val="none"/>
        </w:rPr>
        <w:t>年预算持平。</w:t>
      </w:r>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单位现有公务用车</w:t>
      </w: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rPr>
        <w:t>辆。</w:t>
      </w:r>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24</w:t>
      </w:r>
      <w:r>
        <w:rPr>
          <w:rFonts w:hint="eastAsia" w:ascii="仿宋_GB2312" w:eastAsia="仿宋_GB2312"/>
          <w:color w:val="auto"/>
          <w:sz w:val="32"/>
          <w:szCs w:val="32"/>
          <w:highlight w:val="none"/>
        </w:rPr>
        <w:t>年安排公务用车购置费</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万元，较</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23</w:t>
      </w:r>
      <w:r>
        <w:rPr>
          <w:rFonts w:hint="eastAsia" w:ascii="仿宋_GB2312" w:eastAsia="仿宋_GB2312"/>
          <w:color w:val="auto"/>
          <w:sz w:val="32"/>
          <w:szCs w:val="32"/>
          <w:highlight w:val="none"/>
        </w:rPr>
        <w:t>年预算持平。</w:t>
      </w:r>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eastAsia"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年安排公务用车运行维护费</w:t>
      </w:r>
      <w:r>
        <w:rPr>
          <w:rFonts w:hint="default" w:ascii="Times New Roman" w:hAnsi="Times New Roman" w:eastAsia="仿宋_GB2312" w:cs="Times New Roman"/>
          <w:color w:val="auto"/>
          <w:sz w:val="32"/>
          <w:szCs w:val="32"/>
          <w:highlight w:val="none"/>
          <w:lang w:val="en-US" w:eastAsia="zh-CN"/>
        </w:rPr>
        <w:t>7.18</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23</w:t>
      </w:r>
      <w:r>
        <w:rPr>
          <w:rFonts w:hint="eastAsia" w:ascii="仿宋_GB2312" w:eastAsia="仿宋_GB2312"/>
          <w:color w:val="auto"/>
          <w:sz w:val="32"/>
          <w:szCs w:val="32"/>
          <w:highlight w:val="none"/>
        </w:rPr>
        <w:t>年预算持平</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主要</w:t>
      </w:r>
      <w:r>
        <w:rPr>
          <w:rFonts w:hint="eastAsia" w:ascii="仿宋_GB2312" w:eastAsia="仿宋_GB2312"/>
          <w:color w:val="auto"/>
          <w:sz w:val="32"/>
          <w:szCs w:val="32"/>
          <w:highlight w:val="none"/>
        </w:rPr>
        <w:t>用于</w:t>
      </w: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rPr>
        <w:t>辆公务用车燃油、</w:t>
      </w:r>
      <w:r>
        <w:rPr>
          <w:rFonts w:hint="eastAsia" w:ascii="仿宋_GB2312" w:eastAsia="仿宋_GB2312"/>
          <w:color w:val="auto"/>
          <w:sz w:val="32"/>
          <w:szCs w:val="32"/>
          <w:highlight w:val="none"/>
          <w:lang w:eastAsia="zh-CN"/>
        </w:rPr>
        <w:t>通行</w:t>
      </w:r>
      <w:r>
        <w:rPr>
          <w:rFonts w:hint="eastAsia" w:ascii="仿宋_GB2312" w:eastAsia="仿宋_GB2312"/>
          <w:color w:val="auto"/>
          <w:sz w:val="32"/>
          <w:szCs w:val="32"/>
          <w:highlight w:val="none"/>
        </w:rPr>
        <w:t>等方面支出。主要保障</w:t>
      </w:r>
      <w:r>
        <w:rPr>
          <w:rFonts w:hint="eastAsia" w:ascii="Times New Roman" w:hAnsi="Times New Roman" w:eastAsia="仿宋_GB2312"/>
          <w:color w:val="auto"/>
          <w:sz w:val="32"/>
          <w:szCs w:val="32"/>
        </w:rPr>
        <w:t>综治维稳、政法宣传、政法智能化、法学研究</w:t>
      </w:r>
      <w:r>
        <w:rPr>
          <w:rFonts w:hint="eastAsia" w:ascii="仿宋_GB2312" w:eastAsia="仿宋_GB2312"/>
          <w:color w:val="auto"/>
          <w:sz w:val="32"/>
          <w:szCs w:val="32"/>
          <w:lang w:val="en-US" w:eastAsia="zh-CN"/>
        </w:rPr>
        <w:t>和监督检查等工作开展。</w:t>
      </w:r>
    </w:p>
    <w:p>
      <w:pPr>
        <w:pStyle w:val="4"/>
        <w:pageBreakBefore w:val="0"/>
        <w:widowControl w:val="0"/>
        <w:kinsoku/>
        <w:wordWrap/>
        <w:overflowPunct/>
        <w:topLinePunct w:val="0"/>
        <w:bidi w:val="0"/>
        <w:spacing w:line="580" w:lineRule="exact"/>
        <w:ind w:firstLine="640" w:firstLineChars="200"/>
        <w:textAlignment w:val="auto"/>
        <w:rPr>
          <w:rFonts w:hint="eastAsia" w:ascii="黑体" w:hAnsi="Times New Roman" w:eastAsia="黑体" w:cs="Times New Roman"/>
          <w:b w:val="0"/>
          <w:bCs w:val="0"/>
          <w:sz w:val="32"/>
          <w:szCs w:val="32"/>
        </w:rPr>
      </w:pPr>
      <w:bookmarkStart w:id="14" w:name="_Toc72430491"/>
      <w:r>
        <w:rPr>
          <w:rFonts w:hint="eastAsia" w:ascii="黑体" w:hAnsi="Times New Roman" w:eastAsia="黑体" w:cs="Times New Roman"/>
          <w:b w:val="0"/>
          <w:bCs w:val="0"/>
          <w:sz w:val="32"/>
          <w:szCs w:val="32"/>
        </w:rPr>
        <w:t>八、政府性基金预算支出情况说明</w:t>
      </w:r>
      <w:bookmarkEnd w:id="14"/>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eastAsia" w:ascii="仿宋_GB2312" w:eastAsia="仿宋_GB2312"/>
          <w:color w:val="auto"/>
          <w:sz w:val="32"/>
          <w:szCs w:val="32"/>
          <w:highlight w:val="none"/>
        </w:rPr>
      </w:pP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sz w:val="32"/>
          <w:szCs w:val="32"/>
          <w:lang w:eastAsia="zh-CN"/>
        </w:rPr>
        <w:t>员会</w:t>
      </w:r>
      <w:r>
        <w:rPr>
          <w:rFonts w:hint="eastAsia" w:ascii="仿宋_GB2312" w:eastAsia="仿宋_GB2312"/>
          <w:color w:val="auto"/>
          <w:sz w:val="32"/>
          <w:szCs w:val="32"/>
          <w:highlight w:val="none"/>
          <w:lang w:eastAsia="zh-CN"/>
        </w:rPr>
        <w:t>部门</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eastAsia" w:ascii="仿宋_GB2312" w:eastAsia="仿宋_GB2312"/>
          <w:color w:val="auto"/>
          <w:sz w:val="32"/>
          <w:szCs w:val="32"/>
          <w:highlight w:val="none"/>
        </w:rPr>
        <w:t>年使用政府性基金预算拨款安排</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w:t>
      </w:r>
    </w:p>
    <w:p>
      <w:pPr>
        <w:pStyle w:val="4"/>
        <w:pageBreakBefore w:val="0"/>
        <w:widowControl w:val="0"/>
        <w:kinsoku/>
        <w:wordWrap/>
        <w:overflowPunct/>
        <w:topLinePunct w:val="0"/>
        <w:bidi w:val="0"/>
        <w:spacing w:line="580" w:lineRule="exact"/>
        <w:ind w:firstLine="640" w:firstLineChars="200"/>
        <w:textAlignment w:val="auto"/>
        <w:rPr>
          <w:rFonts w:hint="eastAsia" w:ascii="黑体" w:hAnsi="Times New Roman" w:eastAsia="黑体" w:cs="Times New Roman"/>
          <w:b w:val="0"/>
          <w:bCs w:val="0"/>
          <w:sz w:val="32"/>
          <w:szCs w:val="32"/>
        </w:rPr>
      </w:pPr>
      <w:bookmarkStart w:id="15" w:name="_Toc72430492"/>
      <w:r>
        <w:rPr>
          <w:rFonts w:hint="eastAsia" w:ascii="黑体" w:hAnsi="Times New Roman" w:eastAsia="黑体" w:cs="Times New Roman"/>
          <w:b w:val="0"/>
          <w:bCs w:val="0"/>
          <w:sz w:val="32"/>
          <w:szCs w:val="32"/>
        </w:rPr>
        <w:t>九、国有资本经营预算支出情况说明</w:t>
      </w:r>
      <w:bookmarkEnd w:id="15"/>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eastAsia" w:ascii="仿宋_GB2312" w:eastAsia="仿宋_GB2312"/>
          <w:color w:val="auto"/>
          <w:sz w:val="28"/>
          <w:szCs w:val="28"/>
        </w:rPr>
      </w:pPr>
      <w:r>
        <w:rPr>
          <w:rFonts w:hint="eastAsia" w:ascii="仿宋_GB2312" w:hAnsi="仿宋_GB2312" w:eastAsia="仿宋_GB2312" w:cs="仿宋_GB2312"/>
          <w:b w:val="0"/>
          <w:bCs w:val="0"/>
          <w:color w:val="auto"/>
          <w:sz w:val="32"/>
          <w:szCs w:val="32"/>
          <w:lang w:eastAsia="zh-CN"/>
        </w:rPr>
        <w:t>中共自贡市委政法委员会</w:t>
      </w:r>
      <w:r>
        <w:rPr>
          <w:rFonts w:hint="eastAsia" w:ascii="仿宋_GB2312" w:eastAsia="仿宋_GB2312"/>
          <w:color w:val="auto"/>
          <w:sz w:val="32"/>
          <w:szCs w:val="32"/>
          <w:lang w:eastAsia="zh-CN"/>
        </w:rPr>
        <w:t>部门</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年使用国有资本经营预算拨款安排</w:t>
      </w:r>
      <w:r>
        <w:rPr>
          <w:rFonts w:hint="default" w:ascii="Times New Roman" w:hAnsi="Times New Roman" w:eastAsia="仿宋_GB2312" w:cs="Times New Roman"/>
          <w:color w:val="auto"/>
          <w:sz w:val="32"/>
          <w:szCs w:val="32"/>
          <w:highlight w:val="none"/>
          <w:lang w:val="en-US" w:eastAsia="zh-CN"/>
        </w:rPr>
        <w:t>0</w:t>
      </w:r>
      <w:r>
        <w:rPr>
          <w:rFonts w:hint="eastAsia" w:ascii="仿宋_GB2312" w:eastAsia="仿宋_GB2312"/>
          <w:color w:val="auto"/>
          <w:sz w:val="32"/>
          <w:szCs w:val="32"/>
          <w:highlight w:val="none"/>
        </w:rPr>
        <w:t>万元。</w:t>
      </w:r>
    </w:p>
    <w:p>
      <w:pPr>
        <w:pStyle w:val="4"/>
        <w:pageBreakBefore w:val="0"/>
        <w:widowControl w:val="0"/>
        <w:kinsoku/>
        <w:wordWrap/>
        <w:overflowPunct/>
        <w:topLinePunct w:val="0"/>
        <w:bidi w:val="0"/>
        <w:spacing w:line="580" w:lineRule="exact"/>
        <w:ind w:firstLine="640" w:firstLineChars="200"/>
        <w:textAlignment w:val="auto"/>
        <w:rPr>
          <w:rFonts w:hint="eastAsia" w:ascii="黑体" w:hAnsi="Times New Roman" w:eastAsia="黑体" w:cs="Times New Roman"/>
          <w:b w:val="0"/>
          <w:bCs w:val="0"/>
          <w:sz w:val="32"/>
          <w:szCs w:val="32"/>
        </w:rPr>
      </w:pPr>
      <w:bookmarkStart w:id="16" w:name="_Toc72430493"/>
      <w:r>
        <w:rPr>
          <w:rFonts w:hint="eastAsia" w:ascii="黑体" w:hAnsi="Times New Roman" w:eastAsia="黑体" w:cs="Times New Roman"/>
          <w:b w:val="0"/>
          <w:bCs w:val="0"/>
          <w:sz w:val="32"/>
          <w:szCs w:val="32"/>
        </w:rPr>
        <w:t>十、其他重要事项的情况说明</w:t>
      </w:r>
      <w:bookmarkEnd w:id="16"/>
    </w:p>
    <w:p>
      <w:pPr>
        <w:pStyle w:val="6"/>
        <w:keepNext w:val="0"/>
        <w:keepLines w:val="0"/>
        <w:pageBreakBefore w:val="0"/>
        <w:widowControl w:val="0"/>
        <w:kinsoku/>
        <w:wordWrap/>
        <w:overflowPunct/>
        <w:topLinePunct w:val="0"/>
        <w:bidi w:val="0"/>
        <w:adjustRightInd/>
        <w:snapToGrid/>
        <w:spacing w:before="0" w:beforeLines="0" w:line="592" w:lineRule="exact"/>
        <w:ind w:firstLine="627" w:firstLineChars="196"/>
        <w:jc w:val="both"/>
        <w:textAlignment w:val="auto"/>
        <w:outlineLvl w:val="1"/>
        <w:rPr>
          <w:rFonts w:hint="eastAsia" w:ascii="楷体_GB2312" w:hAnsi="楷体_GB2312" w:eastAsia="楷体_GB2312" w:cs="楷体_GB2312"/>
          <w:b w:val="0"/>
          <w:bCs w:val="0"/>
          <w:color w:val="auto"/>
          <w:sz w:val="32"/>
          <w:szCs w:val="32"/>
          <w:lang w:eastAsia="zh-CN"/>
        </w:rPr>
      </w:pPr>
      <w:bookmarkStart w:id="17" w:name="_Toc72430494"/>
      <w:r>
        <w:rPr>
          <w:rFonts w:hint="eastAsia" w:ascii="楷体_GB2312" w:hAnsi="楷体_GB2312" w:eastAsia="楷体_GB2312" w:cs="楷体_GB2312"/>
          <w:b w:val="0"/>
          <w:bCs w:val="0"/>
          <w:color w:val="auto"/>
          <w:sz w:val="32"/>
          <w:szCs w:val="32"/>
        </w:rPr>
        <w:t>（一）机关运行经费情况</w:t>
      </w:r>
      <w:bookmarkEnd w:id="17"/>
    </w:p>
    <w:p>
      <w:pPr>
        <w:keepNext w:val="0"/>
        <w:keepLines w:val="0"/>
        <w:pageBreakBefore w:val="0"/>
        <w:widowControl w:val="0"/>
        <w:kinsoku/>
        <w:wordWrap/>
        <w:overflowPunct/>
        <w:topLinePunct w:val="0"/>
        <w:bidi w:val="0"/>
        <w:adjustRightInd/>
        <w:snapToGrid/>
        <w:spacing w:line="592" w:lineRule="exact"/>
        <w:ind w:firstLine="640"/>
        <w:jc w:val="both"/>
        <w:textAlignment w:val="auto"/>
        <w:rPr>
          <w:rFonts w:hint="default" w:ascii="仿宋_GB2312" w:eastAsia="仿宋_GB2312"/>
          <w:color w:val="auto"/>
          <w:sz w:val="32"/>
          <w:szCs w:val="32"/>
          <w:lang w:val="en-US" w:eastAsia="zh-CN"/>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年，</w:t>
      </w:r>
      <w:r>
        <w:rPr>
          <w:rFonts w:hint="eastAsia" w:ascii="仿宋_GB2312" w:hAnsi="仿宋_GB2312" w:eastAsia="仿宋_GB2312" w:cs="仿宋_GB2312"/>
          <w:b w:val="0"/>
          <w:bCs w:val="0"/>
          <w:color w:val="auto"/>
          <w:sz w:val="32"/>
          <w:szCs w:val="32"/>
          <w:lang w:eastAsia="zh-CN"/>
        </w:rPr>
        <w:t>中共自贡市委政法委员会</w:t>
      </w:r>
      <w:r>
        <w:rPr>
          <w:rFonts w:hint="eastAsia" w:ascii="仿宋_GB2312" w:eastAsia="仿宋_GB2312"/>
          <w:color w:val="auto"/>
          <w:sz w:val="32"/>
          <w:szCs w:val="32"/>
          <w:lang w:eastAsia="zh-CN"/>
        </w:rPr>
        <w:t>部门</w:t>
      </w:r>
      <w:r>
        <w:rPr>
          <w:rFonts w:hint="eastAsia" w:ascii="仿宋_GB2312" w:eastAsia="仿宋_GB2312"/>
          <w:color w:val="auto"/>
          <w:sz w:val="32"/>
          <w:szCs w:val="32"/>
        </w:rPr>
        <w:t>履行一般行政管理职能、维持机关日常运转而开支的机关运行经费财政拨款预算为</w:t>
      </w:r>
      <w:r>
        <w:rPr>
          <w:rFonts w:hint="eastAsia" w:eastAsia="仿宋_GB2312" w:cs="Times New Roman"/>
          <w:color w:val="auto"/>
          <w:sz w:val="32"/>
          <w:szCs w:val="32"/>
          <w:lang w:val="en-US" w:eastAsia="zh-CN"/>
        </w:rPr>
        <w:t>131.06</w:t>
      </w:r>
      <w:r>
        <w:rPr>
          <w:rFonts w:hint="eastAsia" w:ascii="仿宋_GB2312" w:eastAsia="仿宋_GB2312"/>
          <w:color w:val="auto"/>
          <w:sz w:val="32"/>
          <w:szCs w:val="32"/>
        </w:rPr>
        <w:t>万元，比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eastAsia" w:ascii="仿宋_GB2312" w:eastAsia="仿宋_GB2312"/>
          <w:color w:val="auto"/>
          <w:sz w:val="32"/>
          <w:szCs w:val="32"/>
        </w:rPr>
        <w:t>年预算增加</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1</w:t>
      </w:r>
      <w:r>
        <w:rPr>
          <w:rFonts w:hint="eastAsia" w:eastAsia="仿宋_GB2312" w:cs="Times New Roman"/>
          <w:color w:val="auto"/>
          <w:sz w:val="32"/>
          <w:szCs w:val="32"/>
          <w:lang w:val="en-US" w:eastAsia="zh-CN"/>
        </w:rPr>
        <w:t>.25</w:t>
      </w:r>
      <w:r>
        <w:rPr>
          <w:rFonts w:hint="eastAsia" w:ascii="仿宋_GB2312" w:eastAsia="仿宋_GB2312"/>
          <w:color w:val="auto"/>
          <w:sz w:val="32"/>
          <w:szCs w:val="32"/>
        </w:rPr>
        <w:t>万元，增长</w:t>
      </w:r>
      <w:r>
        <w:rPr>
          <w:rFonts w:hint="eastAsia" w:eastAsia="仿宋_GB2312" w:cs="Times New Roman"/>
          <w:color w:val="auto"/>
          <w:sz w:val="32"/>
          <w:szCs w:val="32"/>
          <w:lang w:val="en-US" w:eastAsia="zh-CN"/>
        </w:rPr>
        <w:t>31.31</w:t>
      </w:r>
      <w:r>
        <w:rPr>
          <w:rFonts w:hint="default" w:ascii="Times New Roman" w:hAnsi="Times New Roman" w:eastAsia="仿宋_GB2312" w:cs="Times New Roman"/>
          <w:color w:val="auto"/>
          <w:sz w:val="32"/>
          <w:szCs w:val="32"/>
        </w:rPr>
        <w:t>%</w:t>
      </w:r>
      <w:r>
        <w:rPr>
          <w:rFonts w:hint="eastAsia" w:ascii="仿宋_GB2312" w:eastAsia="仿宋_GB2312"/>
          <w:color w:val="auto"/>
          <w:sz w:val="32"/>
          <w:szCs w:val="32"/>
          <w:lang w:eastAsia="zh-CN"/>
        </w:rPr>
        <w:t>，</w:t>
      </w:r>
      <w:r>
        <w:rPr>
          <w:rFonts w:hint="eastAsia" w:ascii="仿宋_GB2312" w:eastAsia="仿宋_GB2312"/>
          <w:color w:val="auto"/>
          <w:sz w:val="32"/>
          <w:szCs w:val="32"/>
          <w:highlight w:val="none"/>
        </w:rPr>
        <w:t>主要原因</w:t>
      </w:r>
      <w:r>
        <w:rPr>
          <w:rFonts w:hint="eastAsia" w:ascii="仿宋_GB2312" w:eastAsia="仿宋_GB2312"/>
          <w:color w:val="auto"/>
          <w:sz w:val="32"/>
          <w:szCs w:val="32"/>
          <w:highlight w:val="none"/>
          <w:lang w:eastAsia="zh-CN"/>
        </w:rPr>
        <w:t>一</w:t>
      </w:r>
      <w:r>
        <w:rPr>
          <w:rFonts w:hint="eastAsia" w:ascii="仿宋_GB2312" w:eastAsia="仿宋_GB2312"/>
          <w:color w:val="auto"/>
          <w:sz w:val="32"/>
          <w:szCs w:val="32"/>
          <w:highlight w:val="none"/>
        </w:rPr>
        <w:t>是</w:t>
      </w:r>
      <w:r>
        <w:rPr>
          <w:rFonts w:hint="eastAsia" w:ascii="仿宋_GB2312" w:eastAsia="仿宋_GB2312"/>
          <w:color w:val="auto"/>
          <w:sz w:val="32"/>
          <w:szCs w:val="32"/>
          <w:lang w:val="en-US" w:eastAsia="zh-CN"/>
        </w:rPr>
        <w:t>预算编制人员变动，二是</w:t>
      </w:r>
      <w:r>
        <w:rPr>
          <w:rFonts w:hint="default" w:ascii="Times New Roman" w:hAnsi="Times New Roman" w:eastAsia="仿宋_GB2312" w:cs="Times New Roman"/>
          <w:color w:val="auto"/>
          <w:sz w:val="32"/>
          <w:szCs w:val="32"/>
          <w:lang w:val="en-US" w:eastAsia="zh-CN"/>
        </w:rPr>
        <w:t>2023</w:t>
      </w:r>
      <w:r>
        <w:rPr>
          <w:rFonts w:hint="eastAsia" w:ascii="仿宋_GB2312" w:eastAsia="仿宋_GB2312"/>
          <w:color w:val="auto"/>
          <w:sz w:val="32"/>
          <w:szCs w:val="32"/>
          <w:lang w:val="en-US" w:eastAsia="zh-CN"/>
        </w:rPr>
        <w:t>年公务交通补贴科目名称为人员经费，</w:t>
      </w:r>
      <w:r>
        <w:rPr>
          <w:rFonts w:hint="default" w:ascii="Times New Roman" w:hAnsi="Times New Roman" w:eastAsia="仿宋_GB2312" w:cs="Times New Roman"/>
          <w:color w:val="auto"/>
          <w:sz w:val="32"/>
          <w:szCs w:val="32"/>
          <w:lang w:val="en-US" w:eastAsia="zh-CN"/>
        </w:rPr>
        <w:t>2024</w:t>
      </w:r>
      <w:r>
        <w:rPr>
          <w:rFonts w:hint="eastAsia" w:ascii="仿宋_GB2312" w:eastAsia="仿宋_GB2312"/>
          <w:color w:val="auto"/>
          <w:sz w:val="32"/>
          <w:szCs w:val="32"/>
          <w:lang w:val="en-US" w:eastAsia="zh-CN"/>
        </w:rPr>
        <w:t>年公务交通补贴科目名称调整为公用经费。</w:t>
      </w:r>
    </w:p>
    <w:p>
      <w:pPr>
        <w:pStyle w:val="6"/>
        <w:keepNext w:val="0"/>
        <w:keepLines w:val="0"/>
        <w:pageBreakBefore w:val="0"/>
        <w:widowControl w:val="0"/>
        <w:kinsoku/>
        <w:wordWrap/>
        <w:overflowPunct/>
        <w:topLinePunct w:val="0"/>
        <w:bidi w:val="0"/>
        <w:adjustRightInd/>
        <w:snapToGrid/>
        <w:spacing w:before="0" w:beforeLines="0" w:line="592" w:lineRule="exact"/>
        <w:ind w:firstLine="627" w:firstLineChars="196"/>
        <w:jc w:val="both"/>
        <w:textAlignment w:val="auto"/>
        <w:outlineLvl w:val="1"/>
        <w:rPr>
          <w:rFonts w:hint="eastAsia" w:ascii="楷体_GB2312" w:hAnsi="楷体_GB2312" w:eastAsia="楷体_GB2312" w:cs="楷体_GB2312"/>
          <w:b w:val="0"/>
          <w:bCs w:val="0"/>
          <w:color w:val="auto"/>
          <w:sz w:val="32"/>
          <w:szCs w:val="32"/>
        </w:rPr>
      </w:pPr>
      <w:bookmarkStart w:id="18" w:name="_Toc72430495"/>
      <w:r>
        <w:rPr>
          <w:rFonts w:hint="eastAsia" w:ascii="楷体_GB2312" w:hAnsi="楷体_GB2312" w:eastAsia="楷体_GB2312" w:cs="楷体_GB2312"/>
          <w:b w:val="0"/>
          <w:bCs w:val="0"/>
          <w:color w:val="auto"/>
          <w:sz w:val="32"/>
          <w:szCs w:val="32"/>
        </w:rPr>
        <w:t>（二）政府采购情况</w:t>
      </w:r>
      <w:bookmarkEnd w:id="18"/>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年，</w:t>
      </w:r>
      <w:r>
        <w:rPr>
          <w:rFonts w:hint="eastAsia" w:ascii="仿宋_GB2312" w:hAnsi="仿宋_GB2312" w:eastAsia="仿宋_GB2312" w:cs="仿宋_GB2312"/>
          <w:b w:val="0"/>
          <w:bCs w:val="0"/>
          <w:color w:val="auto"/>
          <w:sz w:val="32"/>
          <w:szCs w:val="32"/>
          <w:lang w:eastAsia="zh-CN"/>
        </w:rPr>
        <w:t>中共自贡市委政法委员会</w:t>
      </w:r>
      <w:r>
        <w:rPr>
          <w:rFonts w:hint="eastAsia" w:ascii="仿宋_GB2312" w:eastAsia="仿宋_GB2312"/>
          <w:color w:val="auto"/>
          <w:sz w:val="32"/>
          <w:szCs w:val="32"/>
          <w:lang w:eastAsia="zh-CN"/>
        </w:rPr>
        <w:t>部门</w:t>
      </w:r>
      <w:r>
        <w:rPr>
          <w:rFonts w:hint="eastAsia" w:ascii="仿宋_GB2312" w:eastAsia="仿宋_GB2312"/>
          <w:color w:val="auto"/>
          <w:sz w:val="32"/>
          <w:szCs w:val="32"/>
        </w:rPr>
        <w:t>安排政府采购预算</w:t>
      </w:r>
      <w:r>
        <w:rPr>
          <w:rFonts w:hint="default" w:ascii="Times New Roman" w:hAnsi="Times New Roman" w:eastAsia="仿宋_GB2312" w:cs="Times New Roman"/>
          <w:color w:val="auto"/>
          <w:sz w:val="32"/>
          <w:szCs w:val="32"/>
          <w:lang w:val="en-US" w:eastAsia="zh-CN"/>
        </w:rPr>
        <w:t>2.46</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较</w:t>
      </w:r>
      <w:r>
        <w:rPr>
          <w:rFonts w:hint="default"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3</w:t>
      </w:r>
      <w:r>
        <w:rPr>
          <w:rFonts w:hint="eastAsia" w:ascii="仿宋_GB2312" w:eastAsia="仿宋_GB2312"/>
          <w:color w:val="auto"/>
          <w:sz w:val="32"/>
          <w:szCs w:val="32"/>
          <w:lang w:val="en-US" w:eastAsia="zh-CN"/>
        </w:rPr>
        <w:t>年</w:t>
      </w:r>
      <w:r>
        <w:rPr>
          <w:rFonts w:hint="eastAsia" w:ascii="仿宋_GB2312" w:eastAsia="仿宋_GB2312"/>
          <w:color w:val="auto"/>
          <w:sz w:val="32"/>
          <w:szCs w:val="32"/>
          <w:highlight w:val="none"/>
        </w:rPr>
        <w:t>下降</w:t>
      </w:r>
      <w:r>
        <w:rPr>
          <w:rFonts w:hint="default" w:ascii="Times New Roman" w:hAnsi="Times New Roman" w:eastAsia="仿宋_GB2312" w:cs="Times New Roman"/>
          <w:color w:val="auto"/>
          <w:sz w:val="32"/>
          <w:szCs w:val="32"/>
          <w:highlight w:val="none"/>
          <w:lang w:val="en-US" w:eastAsia="zh-CN"/>
        </w:rPr>
        <w:t>97.53</w:t>
      </w:r>
      <w:r>
        <w:rPr>
          <w:rFonts w:hint="default" w:ascii="Times New Roman" w:hAnsi="Times New Roman" w:eastAsia="仿宋_GB2312" w:cs="Times New Roman"/>
          <w:color w:val="auto"/>
          <w:sz w:val="32"/>
          <w:szCs w:val="32"/>
          <w:highlight w:val="none"/>
        </w:rPr>
        <w:t>%</w:t>
      </w:r>
      <w:r>
        <w:rPr>
          <w:rFonts w:hint="eastAsia" w:ascii="仿宋_GB2312" w:eastAsia="仿宋_GB2312"/>
          <w:color w:val="auto"/>
          <w:sz w:val="32"/>
          <w:szCs w:val="32"/>
        </w:rPr>
        <w:t>，主要用于采购办公设备</w:t>
      </w:r>
      <w:r>
        <w:rPr>
          <w:rFonts w:hint="default" w:ascii="Times New Roman" w:hAnsi="Times New Roman" w:eastAsia="仿宋_GB2312" w:cs="Times New Roman"/>
          <w:color w:val="auto"/>
          <w:sz w:val="32"/>
          <w:szCs w:val="32"/>
          <w:lang w:val="en-US" w:eastAsia="zh-CN"/>
        </w:rPr>
        <w:t>0.96</w:t>
      </w:r>
      <w:r>
        <w:rPr>
          <w:rFonts w:hint="eastAsia" w:ascii="仿宋_GB2312" w:eastAsia="仿宋_GB2312"/>
          <w:color w:val="auto"/>
          <w:sz w:val="32"/>
          <w:szCs w:val="32"/>
        </w:rPr>
        <w:t>万元、公车运行维护</w:t>
      </w:r>
      <w:r>
        <w:rPr>
          <w:rFonts w:hint="default" w:ascii="Times New Roman" w:hAnsi="Times New Roman" w:eastAsia="仿宋_GB2312" w:cs="Times New Roman"/>
          <w:color w:val="auto"/>
          <w:sz w:val="32"/>
          <w:szCs w:val="32"/>
          <w:lang w:val="en-US" w:eastAsia="zh-CN"/>
        </w:rPr>
        <w:t>1.5</w:t>
      </w:r>
      <w:r>
        <w:rPr>
          <w:rFonts w:hint="eastAsia" w:ascii="仿宋_GB2312" w:eastAsia="仿宋_GB2312"/>
          <w:color w:val="auto"/>
          <w:sz w:val="32"/>
          <w:szCs w:val="32"/>
        </w:rPr>
        <w:t>万元。</w:t>
      </w:r>
    </w:p>
    <w:p>
      <w:pPr>
        <w:pStyle w:val="6"/>
        <w:keepNext w:val="0"/>
        <w:keepLines w:val="0"/>
        <w:pageBreakBefore w:val="0"/>
        <w:widowControl w:val="0"/>
        <w:kinsoku/>
        <w:wordWrap/>
        <w:overflowPunct/>
        <w:topLinePunct w:val="0"/>
        <w:bidi w:val="0"/>
        <w:adjustRightInd/>
        <w:snapToGrid/>
        <w:spacing w:before="0" w:beforeLines="0" w:line="592" w:lineRule="exact"/>
        <w:ind w:firstLine="627" w:firstLineChars="196"/>
        <w:jc w:val="both"/>
        <w:textAlignment w:val="auto"/>
        <w:outlineLvl w:val="1"/>
        <w:rPr>
          <w:rFonts w:hint="eastAsia" w:ascii="楷体_GB2312" w:hAnsi="楷体_GB2312" w:eastAsia="楷体_GB2312" w:cs="楷体_GB2312"/>
          <w:b w:val="0"/>
          <w:bCs w:val="0"/>
          <w:color w:val="auto"/>
          <w:sz w:val="32"/>
          <w:szCs w:val="32"/>
        </w:rPr>
      </w:pPr>
      <w:bookmarkStart w:id="19" w:name="_Toc72430496"/>
      <w:r>
        <w:rPr>
          <w:rFonts w:hint="eastAsia" w:ascii="楷体_GB2312" w:hAnsi="楷体_GB2312" w:eastAsia="楷体_GB2312" w:cs="楷体_GB2312"/>
          <w:b w:val="0"/>
          <w:bCs w:val="0"/>
          <w:color w:val="auto"/>
          <w:sz w:val="32"/>
          <w:szCs w:val="32"/>
        </w:rPr>
        <w:t>（三）国有资产占有使用情况</w:t>
      </w:r>
      <w:bookmarkEnd w:id="19"/>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截至</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23</w:t>
      </w:r>
      <w:r>
        <w:rPr>
          <w:rFonts w:hint="eastAsia" w:ascii="仿宋_GB2312" w:eastAsia="仿宋_GB2312"/>
          <w:color w:val="auto"/>
          <w:sz w:val="32"/>
          <w:szCs w:val="32"/>
        </w:rPr>
        <w:t>年底，</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sz w:val="32"/>
          <w:szCs w:val="32"/>
          <w:lang w:eastAsia="zh-CN"/>
        </w:rPr>
        <w:t>员会</w:t>
      </w:r>
      <w:r>
        <w:rPr>
          <w:rFonts w:hint="eastAsia" w:ascii="仿宋_GB2312" w:eastAsia="仿宋_GB2312"/>
          <w:color w:val="auto"/>
          <w:sz w:val="32"/>
          <w:szCs w:val="32"/>
          <w:lang w:eastAsia="zh-CN"/>
        </w:rPr>
        <w:t>部门</w:t>
      </w:r>
      <w:r>
        <w:rPr>
          <w:rFonts w:hint="eastAsia" w:ascii="仿宋_GB2312" w:eastAsia="仿宋_GB2312"/>
          <w:color w:val="auto"/>
          <w:sz w:val="32"/>
          <w:szCs w:val="32"/>
        </w:rPr>
        <w:t>所属各预算单位共有车辆</w:t>
      </w:r>
      <w:r>
        <w:rPr>
          <w:rFonts w:hint="default" w:ascii="Times New Roman" w:hAnsi="Times New Roman" w:eastAsia="仿宋_GB2312" w:cs="Times New Roman"/>
          <w:color w:val="auto"/>
          <w:sz w:val="32"/>
          <w:szCs w:val="32"/>
          <w:lang w:val="en-US" w:eastAsia="zh-CN"/>
        </w:rPr>
        <w:t>1</w:t>
      </w:r>
      <w:r>
        <w:rPr>
          <w:rFonts w:hint="eastAsia" w:ascii="仿宋_GB2312" w:eastAsia="仿宋_GB2312"/>
          <w:color w:val="auto"/>
          <w:sz w:val="32"/>
          <w:szCs w:val="32"/>
        </w:rPr>
        <w:t>辆，其中</w:t>
      </w:r>
      <w:r>
        <w:rPr>
          <w:rFonts w:hint="eastAsia" w:ascii="仿宋_GB2312" w:eastAsia="仿宋_GB2312"/>
          <w:color w:val="auto"/>
          <w:sz w:val="32"/>
          <w:szCs w:val="32"/>
          <w:lang w:eastAsia="zh-CN"/>
        </w:rPr>
        <w:t>应急保障</w:t>
      </w:r>
      <w:r>
        <w:rPr>
          <w:rFonts w:hint="default" w:ascii="Times New Roman" w:hAnsi="Times New Roman" w:eastAsia="仿宋_GB2312" w:cs="Times New Roman"/>
          <w:color w:val="auto"/>
          <w:sz w:val="32"/>
          <w:szCs w:val="32"/>
          <w:lang w:val="en-US" w:eastAsia="zh-CN"/>
        </w:rPr>
        <w:t>1</w:t>
      </w:r>
      <w:r>
        <w:rPr>
          <w:rFonts w:hint="eastAsia" w:ascii="仿宋_GB2312" w:eastAsia="仿宋_GB2312"/>
          <w:color w:val="auto"/>
          <w:sz w:val="32"/>
          <w:szCs w:val="32"/>
        </w:rPr>
        <w:t>辆。</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jc w:val="both"/>
        <w:textAlignment w:val="auto"/>
        <w:rPr>
          <w:rFonts w:hint="eastAsia" w:ascii="仿宋_GB2312" w:eastAsia="仿宋_GB2312"/>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eastAsia" w:ascii="仿宋_GB2312" w:eastAsia="仿宋_GB2312"/>
          <w:color w:val="auto"/>
          <w:sz w:val="32"/>
          <w:szCs w:val="32"/>
        </w:rPr>
        <w:t>年部门预算安排购置一般公务用车</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辆、执法执勤用车</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辆，单位价值</w:t>
      </w:r>
      <w:r>
        <w:rPr>
          <w:rFonts w:hint="default" w:ascii="Times New Roman" w:hAnsi="Times New Roman" w:eastAsia="仿宋_GB2312" w:cs="Times New Roman"/>
          <w:color w:val="auto"/>
          <w:sz w:val="32"/>
          <w:szCs w:val="32"/>
        </w:rPr>
        <w:t>100</w:t>
      </w:r>
      <w:r>
        <w:rPr>
          <w:rFonts w:hint="eastAsia" w:ascii="仿宋_GB2312" w:eastAsia="仿宋_GB2312"/>
          <w:color w:val="auto"/>
          <w:sz w:val="32"/>
          <w:szCs w:val="32"/>
        </w:rPr>
        <w:t>万元以上大型设备</w:t>
      </w:r>
      <w:r>
        <w:rPr>
          <w:rFonts w:hint="default" w:ascii="Times New Roman" w:hAnsi="Times New Roman" w:eastAsia="仿宋_GB2312" w:cs="Times New Roman"/>
          <w:color w:val="auto"/>
          <w:sz w:val="32"/>
          <w:szCs w:val="32"/>
          <w:lang w:val="en-US" w:eastAsia="zh-CN"/>
        </w:rPr>
        <w:t>0</w:t>
      </w:r>
      <w:r>
        <w:rPr>
          <w:rFonts w:hint="eastAsia" w:ascii="仿宋_GB2312" w:eastAsia="仿宋_GB2312"/>
          <w:color w:val="auto"/>
          <w:sz w:val="32"/>
          <w:szCs w:val="32"/>
        </w:rPr>
        <w:t>台（套）。</w:t>
      </w:r>
    </w:p>
    <w:p>
      <w:pPr>
        <w:pStyle w:val="6"/>
        <w:keepNext w:val="0"/>
        <w:keepLines w:val="0"/>
        <w:pageBreakBefore w:val="0"/>
        <w:widowControl w:val="0"/>
        <w:kinsoku/>
        <w:wordWrap/>
        <w:overflowPunct/>
        <w:topLinePunct w:val="0"/>
        <w:bidi w:val="0"/>
        <w:adjustRightInd/>
        <w:snapToGrid/>
        <w:spacing w:before="0" w:beforeLines="0" w:line="592" w:lineRule="exact"/>
        <w:ind w:firstLine="627" w:firstLineChars="196"/>
        <w:jc w:val="both"/>
        <w:textAlignment w:val="auto"/>
        <w:outlineLvl w:val="1"/>
        <w:rPr>
          <w:rFonts w:hint="eastAsia" w:ascii="楷体_GB2312" w:hAnsi="楷体_GB2312" w:eastAsia="楷体_GB2312" w:cs="楷体_GB2312"/>
          <w:b w:val="0"/>
          <w:bCs w:val="0"/>
          <w:color w:val="auto"/>
          <w:sz w:val="32"/>
          <w:szCs w:val="32"/>
        </w:rPr>
      </w:pPr>
      <w:bookmarkStart w:id="20" w:name="_Toc72430497"/>
      <w:r>
        <w:rPr>
          <w:rFonts w:hint="eastAsia" w:ascii="楷体_GB2312" w:hAnsi="楷体_GB2312" w:eastAsia="楷体_GB2312" w:cs="楷体_GB2312"/>
          <w:b w:val="0"/>
          <w:bCs w:val="0"/>
          <w:color w:val="auto"/>
          <w:sz w:val="32"/>
          <w:szCs w:val="32"/>
        </w:rPr>
        <w:t>（四）绩效目标设置情况</w:t>
      </w:r>
      <w:bookmarkEnd w:id="20"/>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ascii="仿宋_GB2312" w:eastAsia="仿宋_GB2312"/>
          <w:color w:val="auto"/>
          <w:sz w:val="32"/>
          <w:szCs w:val="32"/>
        </w:rPr>
      </w:pPr>
      <w:r>
        <w:rPr>
          <w:rFonts w:hint="eastAsia" w:ascii="仿宋_GB2312" w:eastAsia="仿宋_GB2312"/>
          <w:color w:val="auto"/>
          <w:sz w:val="32"/>
          <w:szCs w:val="32"/>
        </w:rPr>
        <w:t>绩效目标是预算编制的前提和基础，按照</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费随事定</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的原则，</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eastAsia" w:ascii="仿宋_GB2312" w:eastAsia="仿宋_GB2312"/>
          <w:color w:val="auto"/>
          <w:sz w:val="32"/>
          <w:szCs w:val="32"/>
        </w:rPr>
        <w:t>年</w:t>
      </w:r>
      <w:r>
        <w:rPr>
          <w:rFonts w:hint="eastAsia" w:ascii="仿宋_GB2312" w:hAnsi="仿宋_GB2312" w:eastAsia="仿宋_GB2312" w:cs="仿宋_GB2312"/>
          <w:b w:val="0"/>
          <w:bCs w:val="0"/>
          <w:color w:val="auto"/>
          <w:sz w:val="32"/>
          <w:szCs w:val="32"/>
          <w:lang w:eastAsia="zh-CN"/>
        </w:rPr>
        <w:t>中共自贡市委政法委</w:t>
      </w:r>
      <w:r>
        <w:rPr>
          <w:rFonts w:hint="eastAsia" w:ascii="仿宋_GB2312" w:hAnsi="仿宋_GB2312" w:eastAsia="仿宋_GB2312" w:cs="仿宋_GB2312"/>
          <w:sz w:val="32"/>
          <w:szCs w:val="32"/>
          <w:lang w:eastAsia="zh-CN"/>
        </w:rPr>
        <w:t>员会</w:t>
      </w:r>
      <w:r>
        <w:rPr>
          <w:rFonts w:hint="eastAsia" w:ascii="仿宋_GB2312" w:eastAsia="仿宋_GB2312"/>
          <w:color w:val="auto"/>
          <w:sz w:val="32"/>
          <w:szCs w:val="32"/>
        </w:rPr>
        <w:t>部门所有专项项目均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val="0"/>
        <w:kinsoku/>
        <w:wordWrap/>
        <w:overflowPunct/>
        <w:topLinePunct w:val="0"/>
        <w:bidi w:val="0"/>
        <w:adjustRightInd/>
        <w:snapToGrid/>
        <w:spacing w:line="592" w:lineRule="exact"/>
        <w:ind w:firstLine="57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重点项目预算绩效目标情况是：</w:t>
      </w:r>
    </w:p>
    <w:p>
      <w:pPr>
        <w:keepNext w:val="0"/>
        <w:keepLines w:val="0"/>
        <w:pageBreakBefore w:val="0"/>
        <w:widowControl w:val="0"/>
        <w:numPr>
          <w:ilvl w:val="0"/>
          <w:numId w:val="0"/>
        </w:numPr>
        <w:kinsoku/>
        <w:wordWrap/>
        <w:overflowPunct/>
        <w:topLinePunct w:val="0"/>
        <w:bidi w:val="0"/>
        <w:adjustRightInd/>
        <w:snapToGrid/>
        <w:spacing w:line="592" w:lineRule="exact"/>
        <w:ind w:firstLine="640" w:firstLineChars="200"/>
        <w:jc w:val="both"/>
        <w:textAlignment w:val="auto"/>
        <w:rPr>
          <w:rFonts w:hint="eastAsia" w:ascii="楷体_GB2312" w:eastAsia="楷体_GB2312"/>
          <w:b/>
          <w:bCs/>
          <w:color w:val="auto"/>
          <w:sz w:val="28"/>
          <w:szCs w:val="28"/>
          <w:highlight w:val="none"/>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highlight w:val="none"/>
          <w:lang w:eastAsia="zh-CN"/>
        </w:rPr>
        <w:t>综合治理、维护稳定</w:t>
      </w:r>
      <w:r>
        <w:rPr>
          <w:rFonts w:hint="eastAsia" w:ascii="仿宋_GB2312" w:eastAsia="仿宋_GB2312"/>
          <w:color w:val="auto"/>
          <w:sz w:val="32"/>
          <w:szCs w:val="32"/>
          <w:highlight w:val="none"/>
        </w:rPr>
        <w:t>项目，绩效目标是综合协调各方，多途径强化社会治理，有力促进社会和谐稳定。加强涉稳风险</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梳篦式</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动态排查，组织开展重大风险化解攻坚行动，统筹推进重大风险问题防范化解，确保全市社会大局稳定。</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bidi w:val="0"/>
        <w:adjustRightInd/>
        <w:snapToGrid/>
        <w:spacing w:line="592" w:lineRule="exact"/>
        <w:ind w:firstLine="640" w:firstLineChars="200"/>
        <w:jc w:val="both"/>
        <w:textAlignment w:val="auto"/>
        <w:rPr>
          <w:rFonts w:hint="eastAsia" w:ascii="楷体_GB2312" w:eastAsia="楷体_GB2312"/>
          <w:b/>
          <w:bCs/>
          <w:color w:val="auto"/>
          <w:sz w:val="28"/>
          <w:szCs w:val="28"/>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仿宋_GB2312" w:eastAsia="仿宋_GB2312"/>
          <w:color w:val="auto"/>
          <w:sz w:val="32"/>
          <w:szCs w:val="32"/>
          <w:highlight w:val="none"/>
          <w:lang w:eastAsia="zh-CN"/>
        </w:rPr>
        <w:t>综治中心信息化建设</w:t>
      </w:r>
      <w:r>
        <w:rPr>
          <w:rFonts w:hint="eastAsia" w:ascii="仿宋_GB2312" w:eastAsia="仿宋_GB2312"/>
          <w:color w:val="auto"/>
          <w:sz w:val="32"/>
          <w:szCs w:val="32"/>
          <w:highlight w:val="none"/>
        </w:rPr>
        <w:t>项目，绩效目标是强化</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智治盐都</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联网应用平台运用，推进市、县（区）、乡镇（街道）、村（社区）</w:t>
      </w:r>
      <w:r>
        <w:rPr>
          <w:rFonts w:hint="eastAsia" w:ascii="仿宋_GB2312" w:eastAsia="仿宋_GB2312"/>
          <w:color w:val="auto"/>
          <w:spacing w:val="-6"/>
          <w:sz w:val="32"/>
          <w:szCs w:val="32"/>
          <w:highlight w:val="none"/>
        </w:rPr>
        <w:t>四级社会治理指挥中心建设，深化基层综治中心实体化实战化运行。</w:t>
      </w:r>
    </w:p>
    <w:p>
      <w:pPr>
        <w:pStyle w:val="4"/>
        <w:pageBreakBefore w:val="0"/>
        <w:widowControl w:val="0"/>
        <w:kinsoku/>
        <w:wordWrap/>
        <w:overflowPunct/>
        <w:topLinePunct w:val="0"/>
        <w:bidi w:val="0"/>
        <w:spacing w:line="580" w:lineRule="exact"/>
        <w:ind w:firstLine="640" w:firstLineChars="200"/>
        <w:textAlignment w:val="auto"/>
        <w:rPr>
          <w:rFonts w:hint="eastAsia" w:ascii="黑体" w:hAnsi="Times New Roman" w:eastAsia="黑体" w:cs="Times New Roman"/>
          <w:b w:val="0"/>
          <w:bCs w:val="0"/>
          <w:sz w:val="32"/>
          <w:szCs w:val="32"/>
          <w:lang w:val="en-US" w:eastAsia="zh-CN"/>
        </w:rPr>
      </w:pPr>
      <w:bookmarkStart w:id="21" w:name="_Toc72430498"/>
      <w:bookmarkStart w:id="22" w:name="_Toc5860"/>
      <w:r>
        <w:rPr>
          <w:rFonts w:hint="eastAsia" w:ascii="黑体" w:hAnsi="Times New Roman" w:eastAsia="黑体" w:cs="Times New Roman"/>
          <w:b w:val="0"/>
          <w:bCs w:val="0"/>
          <w:sz w:val="32"/>
          <w:szCs w:val="32"/>
          <w:lang w:val="en-US" w:eastAsia="zh-CN"/>
        </w:rPr>
        <w:t>十一、名词解释</w:t>
      </w:r>
      <w:bookmarkEnd w:id="21"/>
      <w:bookmarkEnd w:id="22"/>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eastAsia="仿宋_GB2312"/>
          <w:sz w:val="32"/>
          <w:szCs w:val="32"/>
        </w:rPr>
        <w:t>一般公共预算拨款收入：指市级财政当年拨付的资金。</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eastAsia="仿宋_GB2312"/>
          <w:sz w:val="32"/>
          <w:szCs w:val="32"/>
        </w:rPr>
        <w:t>事业收入：指事业单位开展专业业务活动及辅助活动所取得的收入。</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3.</w:t>
      </w:r>
      <w:r>
        <w:rPr>
          <w:rFonts w:hint="eastAsia" w:ascii="仿宋_GB2312" w:eastAsia="仿宋_GB2312"/>
          <w:sz w:val="32"/>
          <w:szCs w:val="32"/>
        </w:rPr>
        <w:t>上年结转：指以前年度尚未完成，结转到本年仍按原规定用途继续使用的资金。</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sz w:val="32"/>
          <w:szCs w:val="32"/>
        </w:rPr>
      </w:pPr>
      <w:r>
        <w:rPr>
          <w:rFonts w:hint="default" w:ascii="Times New Roman" w:hAnsi="Times New Roman" w:eastAsia="仿宋_GB2312" w:cs="Times New Roman"/>
          <w:color w:val="333333"/>
          <w:sz w:val="32"/>
          <w:szCs w:val="32"/>
          <w:lang w:val="en-US" w:eastAsia="zh-CN"/>
        </w:rPr>
        <w:t>4.</w:t>
      </w:r>
      <w:r>
        <w:rPr>
          <w:rFonts w:hint="eastAsia" w:ascii="Times New Roman" w:hAnsi="Times New Roman" w:eastAsia="仿宋_GB2312"/>
          <w:color w:val="333333"/>
          <w:sz w:val="32"/>
          <w:szCs w:val="32"/>
        </w:rPr>
        <w:t>公共安全支出（类）</w:t>
      </w:r>
      <w:r>
        <w:rPr>
          <w:rFonts w:hint="eastAsia" w:ascii="Times New Roman" w:hAnsi="Times New Roman" w:eastAsia="仿宋_GB2312"/>
          <w:sz w:val="32"/>
          <w:szCs w:val="32"/>
        </w:rPr>
        <w:t>公安</w:t>
      </w:r>
      <w:r>
        <w:rPr>
          <w:rFonts w:hint="eastAsia" w:ascii="Times New Roman" w:hAnsi="Times New Roman" w:eastAsia="仿宋_GB2312"/>
          <w:color w:val="333333"/>
          <w:sz w:val="32"/>
          <w:szCs w:val="32"/>
        </w:rPr>
        <w:t>（款）</w:t>
      </w:r>
      <w:r>
        <w:rPr>
          <w:rFonts w:hint="eastAsia" w:ascii="Times New Roman" w:hAnsi="Times New Roman" w:eastAsia="仿宋_GB2312"/>
          <w:sz w:val="32"/>
          <w:szCs w:val="32"/>
        </w:rPr>
        <w:t>行政运行</w:t>
      </w:r>
      <w:r>
        <w:rPr>
          <w:rFonts w:hint="eastAsia" w:ascii="Times New Roman" w:hAnsi="Times New Roman" w:eastAsia="仿宋_GB2312"/>
          <w:color w:val="333333"/>
          <w:sz w:val="32"/>
          <w:szCs w:val="32"/>
        </w:rPr>
        <w:t>（项）：指</w:t>
      </w:r>
      <w:r>
        <w:rPr>
          <w:rFonts w:hint="eastAsia" w:ascii="Times New Roman" w:hAnsi="Times New Roman" w:eastAsia="仿宋_GB2312"/>
          <w:color w:val="000000"/>
          <w:sz w:val="32"/>
          <w:szCs w:val="32"/>
        </w:rPr>
        <w:t>行政单位及参照公务员法管理的事业单位用于保障机构正常运行、开展日常工作的基本支出</w:t>
      </w:r>
      <w:r>
        <w:rPr>
          <w:rFonts w:hint="eastAsia" w:ascii="仿宋_GB2312" w:eastAsia="仿宋_GB2312"/>
          <w:sz w:val="32"/>
          <w:szCs w:val="32"/>
        </w:rPr>
        <w:t>。</w:t>
      </w:r>
    </w:p>
    <w:p>
      <w:pPr>
        <w:pStyle w:val="16"/>
        <w:keepNext w:val="0"/>
        <w:keepLines w:val="0"/>
        <w:pageBreakBefore w:val="0"/>
        <w:widowControl w:val="0"/>
        <w:kinsoku/>
        <w:wordWrap/>
        <w:overflowPunct/>
        <w:topLinePunct w:val="0"/>
        <w:bidi w:val="0"/>
        <w:adjustRightInd/>
        <w:snapToGrid/>
        <w:spacing w:line="592" w:lineRule="exact"/>
        <w:jc w:val="both"/>
        <w:textAlignment w:val="auto"/>
        <w:rPr>
          <w:rFonts w:hint="eastAsia"/>
        </w:rPr>
      </w:pPr>
      <w:r>
        <w:rPr>
          <w:rFonts w:hint="default" w:ascii="Times New Roman" w:hAnsi="Times New Roman" w:eastAsia="仿宋_GB2312" w:cs="Times New Roman"/>
          <w:color w:val="333333"/>
          <w:sz w:val="32"/>
          <w:szCs w:val="32"/>
          <w:lang w:val="en-US" w:eastAsia="zh-CN"/>
        </w:rPr>
        <w:t>5.</w:t>
      </w:r>
      <w:r>
        <w:rPr>
          <w:rFonts w:hint="eastAsia" w:ascii="Times New Roman" w:hAnsi="Times New Roman" w:eastAsia="仿宋_GB2312"/>
          <w:color w:val="333333"/>
          <w:sz w:val="32"/>
          <w:szCs w:val="32"/>
        </w:rPr>
        <w:t>公共安全支出（类）</w:t>
      </w:r>
      <w:r>
        <w:rPr>
          <w:rFonts w:hint="eastAsia" w:ascii="Times New Roman" w:hAnsi="Times New Roman" w:eastAsia="仿宋_GB2312"/>
          <w:sz w:val="32"/>
          <w:szCs w:val="32"/>
        </w:rPr>
        <w:t>公安</w:t>
      </w:r>
      <w:r>
        <w:rPr>
          <w:rFonts w:hint="eastAsia" w:ascii="Times New Roman" w:hAnsi="Times New Roman" w:eastAsia="仿宋_GB2312"/>
          <w:color w:val="333333"/>
          <w:sz w:val="32"/>
          <w:szCs w:val="32"/>
        </w:rPr>
        <w:t>（款）</w:t>
      </w:r>
      <w:r>
        <w:rPr>
          <w:rFonts w:hint="eastAsia" w:ascii="Times New Roman" w:hAnsi="Times New Roman" w:eastAsia="仿宋_GB2312"/>
          <w:sz w:val="32"/>
          <w:szCs w:val="32"/>
          <w:lang w:eastAsia="zh-CN"/>
        </w:rPr>
        <w:t>事业</w:t>
      </w:r>
      <w:r>
        <w:rPr>
          <w:rFonts w:hint="eastAsia" w:ascii="Times New Roman" w:hAnsi="Times New Roman" w:eastAsia="仿宋_GB2312"/>
          <w:sz w:val="32"/>
          <w:szCs w:val="32"/>
        </w:rPr>
        <w:t>运行</w:t>
      </w:r>
      <w:r>
        <w:rPr>
          <w:rFonts w:hint="eastAsia" w:ascii="Times New Roman" w:hAnsi="Times New Roman" w:eastAsia="仿宋_GB2312"/>
          <w:color w:val="333333"/>
          <w:sz w:val="32"/>
          <w:szCs w:val="32"/>
        </w:rPr>
        <w:t>（项）：指</w:t>
      </w:r>
      <w:r>
        <w:rPr>
          <w:rFonts w:hint="eastAsia" w:ascii="Times New Roman" w:hAnsi="Times New Roman" w:eastAsia="仿宋_GB2312"/>
          <w:color w:val="000000"/>
          <w:sz w:val="32"/>
          <w:szCs w:val="32"/>
        </w:rPr>
        <w:t>事业单位用于保障机构正常运行、开展日常工作的基本支出</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6.</w:t>
      </w:r>
      <w:r>
        <w:rPr>
          <w:rFonts w:hint="eastAsia" w:ascii="仿宋_GB2312" w:eastAsia="仿宋_GB2312"/>
          <w:sz w:val="32"/>
          <w:szCs w:val="32"/>
        </w:rPr>
        <w:t>基本支出：指为保证机构正常运转，完成日常工作任务而发生的人员支出和公用支出。</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7.</w:t>
      </w:r>
      <w:r>
        <w:rPr>
          <w:rFonts w:hint="eastAsia" w:ascii="仿宋_GB2312" w:eastAsia="仿宋_GB2312"/>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w:t>
      </w:r>
      <w:r>
        <w:rPr>
          <w:rFonts w:hint="eastAsia" w:ascii="仿宋_GB2312" w:eastAsia="仿宋_GB2312"/>
          <w:sz w:val="32"/>
          <w:szCs w:val="32"/>
        </w:rPr>
        <w:t>三公</w:t>
      </w:r>
      <w:r>
        <w:rPr>
          <w:rFonts w:hint="eastAsia" w:ascii="仿宋_GB2312" w:hAnsi="仿宋_GB2312" w:eastAsia="仿宋_GB2312" w:cs="仿宋_GB2312"/>
          <w:sz w:val="32"/>
          <w:szCs w:val="32"/>
        </w:rPr>
        <w:t>”</w:t>
      </w:r>
      <w:r>
        <w:rPr>
          <w:rFonts w:hint="eastAsia" w:ascii="仿宋_GB2312" w:eastAsia="仿宋_GB2312"/>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9.</w:t>
      </w:r>
      <w:r>
        <w:rPr>
          <w:rFonts w:hint="eastAsia" w:ascii="仿宋_GB2312" w:eastAsia="仿宋_GB2312"/>
          <w:sz w:val="32"/>
          <w:szCs w:val="32"/>
        </w:rPr>
        <w:t>机关运行经费：为保障行政单位（包含参照公务员法管理的事业单位）运行用于购买货物和服务的各项资金。包括办公及印刷费、邮电费、差旅费、会议费。物业管理费等费用开支。</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10.</w:t>
      </w:r>
      <w:r>
        <w:rPr>
          <w:rFonts w:hint="eastAsia" w:ascii="仿宋_GB2312" w:eastAsia="仿宋_GB2312"/>
          <w:sz w:val="32"/>
          <w:szCs w:val="32"/>
        </w:rPr>
        <w:t>社会保障和就业（类）行政事业单位离退休（款）归口管理的行政单位离退休（项）：指用于纪委机关退休人员的支出。</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11.</w:t>
      </w:r>
      <w:r>
        <w:rPr>
          <w:rFonts w:hint="eastAsia" w:ascii="仿宋_GB2312" w:eastAsia="仿宋_GB2312"/>
          <w:sz w:val="32"/>
          <w:szCs w:val="32"/>
        </w:rPr>
        <w:t>社会保障和就业支出（类）行政事业单位养老支出（款）机关事业单位基本养老保险缴费支出（项）:主要用于职工养老保险缴费。</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w:t>
      </w:r>
      <w:r>
        <w:rPr>
          <w:rFonts w:hint="eastAsia" w:ascii="仿宋_GB2312" w:eastAsia="仿宋_GB2312"/>
          <w:sz w:val="32"/>
          <w:szCs w:val="32"/>
        </w:rPr>
        <w:t>卫生健康（类）医疗保障（款）行政单位医疗（项）:主要用于职工基本医疗保险缴费。</w:t>
      </w:r>
    </w:p>
    <w:p>
      <w:pPr>
        <w:keepNext w:val="0"/>
        <w:keepLines w:val="0"/>
        <w:pageBreakBefore w:val="0"/>
        <w:widowControl w:val="0"/>
        <w:kinsoku/>
        <w:wordWrap/>
        <w:overflowPunct/>
        <w:topLinePunct w:val="0"/>
        <w:bidi w:val="0"/>
        <w:adjustRightInd/>
        <w:snapToGrid/>
        <w:spacing w:line="592" w:lineRule="exact"/>
        <w:ind w:left="0" w:leftChars="0" w:right="0" w:rightChars="0" w:firstLine="640" w:firstLineChars="200"/>
        <w:jc w:val="both"/>
        <w:textAlignment w:val="auto"/>
        <w:rPr>
          <w:rFonts w:hint="eastAsia" w:ascii="仿宋_GB2312" w:eastAsia="仿宋_GB2312"/>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仿宋_GB2312" w:eastAsia="仿宋_GB2312"/>
          <w:sz w:val="32"/>
          <w:szCs w:val="32"/>
        </w:rPr>
        <w:t>住房保障（类）住房改革支出（款）住房公积金（项）:主要用于单位职工缴纳住房公积金。</w:t>
      </w:r>
    </w:p>
    <w:p>
      <w:pPr>
        <w:pStyle w:val="5"/>
        <w:rPr>
          <w:color w:val="5B9BD5" w:themeColor="accent1"/>
          <w14:textFill>
            <w14:solidFill>
              <w14:schemeClr w14:val="accent1"/>
            </w14:solidFill>
          </w14:textFill>
        </w:rPr>
      </w:pPr>
    </w:p>
    <w:p>
      <w:pPr>
        <w:pageBreakBefore w:val="0"/>
        <w:widowControl w:val="0"/>
        <w:kinsoku/>
        <w:wordWrap/>
        <w:overflowPunct/>
        <w:topLinePunct w:val="0"/>
        <w:bidi w:val="0"/>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附件： </w:t>
      </w:r>
      <w:r>
        <w:rPr>
          <w:rFonts w:ascii="仿宋_GB2312" w:eastAsia="仿宋_GB2312"/>
          <w:color w:val="auto"/>
          <w:sz w:val="32"/>
          <w:szCs w:val="32"/>
        </w:rPr>
        <w:t xml:space="preserve"> </w:t>
      </w:r>
      <w:r>
        <w:rPr>
          <w:rFonts w:hint="eastAsia" w:ascii="仿宋_GB2312" w:eastAsia="仿宋_GB2312"/>
          <w:color w:val="auto"/>
          <w:sz w:val="32"/>
          <w:szCs w:val="32"/>
        </w:rPr>
        <w:t>表1.部门收支总表</w:t>
      </w:r>
      <w:r>
        <w:rPr>
          <w:rFonts w:hint="eastAsia" w:ascii="仿宋_GB2312" w:eastAsia="仿宋_GB2312"/>
          <w:color w:val="auto"/>
          <w:sz w:val="32"/>
          <w:szCs w:val="32"/>
        </w:rPr>
        <w:br w:type="textWrapping"/>
      </w:r>
      <w:r>
        <w:rPr>
          <w:rFonts w:hint="eastAsia" w:ascii="仿宋_GB2312" w:eastAsia="仿宋_GB2312"/>
          <w:color w:val="auto"/>
          <w:sz w:val="32"/>
          <w:szCs w:val="32"/>
        </w:rPr>
        <w:t>　　　    表1-1.部门收入总表</w:t>
      </w:r>
      <w:r>
        <w:rPr>
          <w:rFonts w:hint="eastAsia" w:ascii="仿宋_GB2312" w:eastAsia="仿宋_GB2312"/>
          <w:color w:val="auto"/>
          <w:sz w:val="32"/>
          <w:szCs w:val="32"/>
        </w:rPr>
        <w:br w:type="textWrapping"/>
      </w:r>
      <w:r>
        <w:rPr>
          <w:rFonts w:hint="eastAsia" w:ascii="仿宋_GB2312" w:eastAsia="仿宋_GB2312"/>
          <w:color w:val="auto"/>
          <w:sz w:val="32"/>
          <w:szCs w:val="32"/>
        </w:rPr>
        <w:t>　　　　　表1-2.部门支出总表</w:t>
      </w:r>
      <w:r>
        <w:rPr>
          <w:rFonts w:hint="eastAsia" w:ascii="仿宋_GB2312" w:eastAsia="仿宋_GB2312"/>
          <w:color w:val="auto"/>
          <w:sz w:val="32"/>
          <w:szCs w:val="32"/>
        </w:rPr>
        <w:br w:type="textWrapping"/>
      </w:r>
      <w:r>
        <w:rPr>
          <w:rFonts w:hint="eastAsia" w:ascii="仿宋_GB2312" w:eastAsia="仿宋_GB2312"/>
          <w:color w:val="auto"/>
          <w:sz w:val="32"/>
          <w:szCs w:val="32"/>
        </w:rPr>
        <w:t>　　　　　表2.财政拨款收支预算总表</w:t>
      </w:r>
    </w:p>
    <w:p>
      <w:pPr>
        <w:pageBreakBefore w:val="0"/>
        <w:widowControl w:val="0"/>
        <w:kinsoku/>
        <w:wordWrap/>
        <w:overflowPunct/>
        <w:topLinePunct w:val="0"/>
        <w:bidi w:val="0"/>
        <w:spacing w:line="580" w:lineRule="exact"/>
        <w:ind w:firstLine="1600" w:firstLineChars="500"/>
        <w:textAlignment w:val="auto"/>
        <w:rPr>
          <w:rFonts w:hint="eastAsia" w:ascii="仿宋_GB2312" w:eastAsia="仿宋_GB2312"/>
          <w:color w:val="auto"/>
          <w:sz w:val="32"/>
          <w:szCs w:val="32"/>
        </w:rPr>
      </w:pPr>
      <w:r>
        <w:rPr>
          <w:rFonts w:hint="eastAsia" w:ascii="仿宋_GB2312" w:eastAsia="仿宋_GB2312"/>
          <w:color w:val="auto"/>
          <w:sz w:val="32"/>
          <w:szCs w:val="32"/>
        </w:rPr>
        <w:t>表2-1. 财政拨款支出预算表（</w:t>
      </w:r>
      <w:r>
        <w:rPr>
          <w:rFonts w:hint="eastAsia" w:ascii="仿宋_GB2312" w:eastAsia="仿宋_GB2312"/>
          <w:color w:val="auto"/>
          <w:sz w:val="28"/>
          <w:szCs w:val="28"/>
        </w:rPr>
        <w:t>部门经济分类科目</w:t>
      </w:r>
      <w:r>
        <w:rPr>
          <w:rFonts w:hint="eastAsia" w:ascii="仿宋_GB2312" w:eastAsia="仿宋_GB2312"/>
          <w:color w:val="auto"/>
          <w:sz w:val="32"/>
          <w:szCs w:val="32"/>
        </w:rPr>
        <w:t>）　　　　　</w:t>
      </w:r>
    </w:p>
    <w:p>
      <w:pPr>
        <w:pageBreakBefore w:val="0"/>
        <w:widowControl w:val="0"/>
        <w:kinsoku/>
        <w:wordWrap/>
        <w:overflowPunct/>
        <w:topLinePunct w:val="0"/>
        <w:bidi w:val="0"/>
        <w:spacing w:line="580" w:lineRule="exact"/>
        <w:ind w:firstLine="1600" w:firstLineChars="500"/>
        <w:textAlignment w:val="auto"/>
        <w:rPr>
          <w:rFonts w:ascii="仿宋_GB2312" w:eastAsia="仿宋_GB2312"/>
          <w:color w:val="auto"/>
          <w:sz w:val="32"/>
          <w:szCs w:val="32"/>
        </w:rPr>
      </w:pPr>
      <w:r>
        <w:rPr>
          <w:rFonts w:hint="eastAsia" w:ascii="仿宋_GB2312" w:eastAsia="仿宋_GB2312"/>
          <w:color w:val="auto"/>
          <w:sz w:val="32"/>
          <w:szCs w:val="32"/>
        </w:rPr>
        <w:t>表3.一般公共预算支出预算表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表3-1.一般公共预算基本支出预算表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表3-2.一般公共预算项目支出预算表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表3-3.一般公共预算“三公”经费支出预算表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表4.政府性基金支出预算表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表4-1.政府性基金预算“三公”经费支出预算表</w:t>
      </w:r>
      <w:r>
        <w:rPr>
          <w:rFonts w:hint="eastAsia" w:ascii="仿宋_GB2312" w:eastAsia="仿宋_GB2312"/>
          <w:color w:val="auto"/>
          <w:sz w:val="32"/>
          <w:szCs w:val="32"/>
        </w:rPr>
        <w:br w:type="textWrapping"/>
      </w:r>
      <w:r>
        <w:rPr>
          <w:rFonts w:hint="eastAsia" w:ascii="仿宋_GB2312" w:eastAsia="仿宋_GB2312"/>
          <w:color w:val="auto"/>
          <w:sz w:val="32"/>
          <w:szCs w:val="32"/>
        </w:rPr>
        <w:t>　　　　　表5.国有资本经营预算支出预算表</w:t>
      </w:r>
    </w:p>
    <w:p>
      <w:pPr>
        <w:pageBreakBefore w:val="0"/>
        <w:widowControl w:val="0"/>
        <w:kinsoku/>
        <w:wordWrap/>
        <w:overflowPunct/>
        <w:topLinePunct w:val="0"/>
        <w:bidi w:val="0"/>
        <w:spacing w:line="580" w:lineRule="exact"/>
        <w:ind w:firstLine="1600" w:firstLineChars="500"/>
        <w:textAlignment w:val="auto"/>
        <w:rPr>
          <w:rFonts w:hint="eastAsia" w:ascii="仿宋_GB2312" w:eastAsia="仿宋_GB2312"/>
          <w:color w:val="auto"/>
          <w:sz w:val="32"/>
          <w:szCs w:val="32"/>
        </w:rPr>
      </w:pPr>
      <w:r>
        <w:rPr>
          <w:rFonts w:hint="eastAsia" w:ascii="仿宋_GB2312" w:eastAsia="仿宋_GB2312"/>
          <w:color w:val="auto"/>
          <w:sz w:val="32"/>
          <w:szCs w:val="32"/>
        </w:rPr>
        <w:t>表6</w:t>
      </w:r>
      <w:r>
        <w:rPr>
          <w:rFonts w:ascii="仿宋_GB2312" w:eastAsia="仿宋_GB2312"/>
          <w:color w:val="auto"/>
          <w:sz w:val="32"/>
          <w:szCs w:val="32"/>
        </w:rPr>
        <w:t>.</w:t>
      </w:r>
      <w:r>
        <w:rPr>
          <w:rFonts w:hint="eastAsia" w:ascii="仿宋_GB2312" w:eastAsia="仿宋_GB2312"/>
          <w:color w:val="auto"/>
          <w:sz w:val="32"/>
          <w:szCs w:val="32"/>
        </w:rPr>
        <w:t>项目绩效目标</w:t>
      </w:r>
    </w:p>
    <w:p>
      <w:pPr>
        <w:pageBreakBefore w:val="0"/>
        <w:widowControl w:val="0"/>
        <w:tabs>
          <w:tab w:val="left" w:pos="1570"/>
        </w:tabs>
        <w:kinsoku/>
        <w:wordWrap/>
        <w:overflowPunct/>
        <w:topLinePunct w:val="0"/>
        <w:bidi w:val="0"/>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ab/>
      </w:r>
      <w:r>
        <w:rPr>
          <w:rFonts w:hint="eastAsia" w:ascii="仿宋_GB2312" w:eastAsia="仿宋_GB2312"/>
          <w:color w:val="auto"/>
          <w:sz w:val="32"/>
          <w:szCs w:val="32"/>
          <w:lang w:val="en-US" w:eastAsia="zh-CN"/>
        </w:rPr>
        <w:t>表7.整体绩效目标</w:t>
      </w:r>
    </w:p>
    <w:p>
      <w:pPr>
        <w:rPr>
          <w:color w:val="5B9BD5" w:themeColor="accent1"/>
          <w14:textFill>
            <w14:solidFill>
              <w14:schemeClr w14:val="accent1"/>
            </w14:solidFill>
          </w14:textFill>
        </w:rPr>
      </w:pPr>
    </w:p>
    <w:p>
      <w:pPr>
        <w:pStyle w:val="5"/>
        <w:rPr>
          <w:color w:val="5B9BD5" w:themeColor="accent1"/>
          <w14:textFill>
            <w14:solidFill>
              <w14:schemeClr w14:val="accent1"/>
            </w14:solidFill>
          </w14:textFill>
        </w:rPr>
      </w:pPr>
    </w:p>
    <w:p>
      <w:pPr>
        <w:rPr>
          <w:color w:val="5B9BD5" w:themeColor="accent1"/>
          <w14:textFill>
            <w14:solidFill>
              <w14:schemeClr w14:val="accent1"/>
            </w14:solidFill>
          </w14:textFill>
        </w:rPr>
      </w:pPr>
    </w:p>
    <w:p>
      <w:pPr>
        <w:pStyle w:val="5"/>
        <w:rPr>
          <w:color w:val="5B9BD5" w:themeColor="accent1"/>
          <w14:textFill>
            <w14:solidFill>
              <w14:schemeClr w14:val="accent1"/>
            </w14:solidFill>
          </w14:textFill>
        </w:rPr>
      </w:pPr>
    </w:p>
    <w:p>
      <w:pPr>
        <w:rPr>
          <w:color w:val="5B9BD5" w:themeColor="accent1"/>
          <w14:textFill>
            <w14:solidFill>
              <w14:schemeClr w14:val="accent1"/>
            </w14:solidFill>
          </w14:textFill>
        </w:rPr>
      </w:pPr>
    </w:p>
    <w:p>
      <w:pPr>
        <w:pStyle w:val="5"/>
        <w:rPr>
          <w:color w:val="5B9BD5" w:themeColor="accent1"/>
          <w14:textFill>
            <w14:solidFill>
              <w14:schemeClr w14:val="accent1"/>
            </w14:solidFill>
          </w14:textFill>
        </w:rPr>
      </w:pPr>
    </w:p>
    <w:p>
      <w:pPr>
        <w:rPr>
          <w:color w:val="5B9BD5" w:themeColor="accent1"/>
          <w14:textFill>
            <w14:solidFill>
              <w14:schemeClr w14:val="accent1"/>
            </w14:solidFill>
          </w14:textFill>
        </w:rPr>
      </w:pPr>
    </w:p>
    <w:p>
      <w:pPr>
        <w:pStyle w:val="5"/>
        <w:ind w:left="0" w:leftChars="0" w:firstLine="0" w:firstLineChars="0"/>
      </w:pPr>
    </w:p>
    <w:sectPr>
      <w:footerReference r:id="rId3" w:type="default"/>
      <w:pgSz w:w="11906" w:h="16838"/>
      <w:pgMar w:top="1871" w:right="1531" w:bottom="1871" w:left="1531" w:header="851" w:footer="153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w:t>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311EF"/>
    <w:multiLevelType w:val="singleLevel"/>
    <w:tmpl w:val="A94311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568AF"/>
    <w:rsid w:val="0259301D"/>
    <w:rsid w:val="049A5949"/>
    <w:rsid w:val="06930854"/>
    <w:rsid w:val="0A62131A"/>
    <w:rsid w:val="0C1A49DE"/>
    <w:rsid w:val="0F921E16"/>
    <w:rsid w:val="107B5783"/>
    <w:rsid w:val="134C2804"/>
    <w:rsid w:val="14116288"/>
    <w:rsid w:val="142551DD"/>
    <w:rsid w:val="14485F2D"/>
    <w:rsid w:val="167851D0"/>
    <w:rsid w:val="19B05C97"/>
    <w:rsid w:val="1A3A776A"/>
    <w:rsid w:val="1B5C3921"/>
    <w:rsid w:val="1C4E24D4"/>
    <w:rsid w:val="1CD974F2"/>
    <w:rsid w:val="1DCA7F2C"/>
    <w:rsid w:val="1EA860CE"/>
    <w:rsid w:val="215D2DEF"/>
    <w:rsid w:val="237B7C7C"/>
    <w:rsid w:val="263D5042"/>
    <w:rsid w:val="26C3248A"/>
    <w:rsid w:val="282137D4"/>
    <w:rsid w:val="284E33BB"/>
    <w:rsid w:val="2979012E"/>
    <w:rsid w:val="2A310320"/>
    <w:rsid w:val="2B0748C6"/>
    <w:rsid w:val="2BEC5D32"/>
    <w:rsid w:val="2F084983"/>
    <w:rsid w:val="32C95DEF"/>
    <w:rsid w:val="33C7390B"/>
    <w:rsid w:val="33E3723F"/>
    <w:rsid w:val="34221688"/>
    <w:rsid w:val="35931969"/>
    <w:rsid w:val="35B9637F"/>
    <w:rsid w:val="37C32007"/>
    <w:rsid w:val="38E84048"/>
    <w:rsid w:val="3A6A44A9"/>
    <w:rsid w:val="3A8E0F0C"/>
    <w:rsid w:val="3C0C4652"/>
    <w:rsid w:val="3C8F2294"/>
    <w:rsid w:val="3C98356D"/>
    <w:rsid w:val="3DAE51CF"/>
    <w:rsid w:val="3DC05627"/>
    <w:rsid w:val="3F5EB820"/>
    <w:rsid w:val="3FA93D72"/>
    <w:rsid w:val="3FF868B8"/>
    <w:rsid w:val="40395EC4"/>
    <w:rsid w:val="40B66E01"/>
    <w:rsid w:val="40F309C7"/>
    <w:rsid w:val="4122012B"/>
    <w:rsid w:val="48CA7B46"/>
    <w:rsid w:val="4B2B7A09"/>
    <w:rsid w:val="4CE40855"/>
    <w:rsid w:val="4D002E68"/>
    <w:rsid w:val="4E1370BA"/>
    <w:rsid w:val="4E737EDC"/>
    <w:rsid w:val="54A52D5B"/>
    <w:rsid w:val="5929380E"/>
    <w:rsid w:val="59C80206"/>
    <w:rsid w:val="60B85705"/>
    <w:rsid w:val="622264FC"/>
    <w:rsid w:val="63F20A56"/>
    <w:rsid w:val="656E1F58"/>
    <w:rsid w:val="67EB4881"/>
    <w:rsid w:val="68E47052"/>
    <w:rsid w:val="6A3B795F"/>
    <w:rsid w:val="6E6A69D4"/>
    <w:rsid w:val="6E780F71"/>
    <w:rsid w:val="6EB102F6"/>
    <w:rsid w:val="6EBC52C8"/>
    <w:rsid w:val="702863F3"/>
    <w:rsid w:val="71F45DC3"/>
    <w:rsid w:val="725440DC"/>
    <w:rsid w:val="73D94338"/>
    <w:rsid w:val="74182140"/>
    <w:rsid w:val="77420B24"/>
    <w:rsid w:val="77440ABB"/>
    <w:rsid w:val="7832267B"/>
    <w:rsid w:val="78673981"/>
    <w:rsid w:val="79F84BDC"/>
    <w:rsid w:val="7B9A1F71"/>
    <w:rsid w:val="7C95468E"/>
    <w:rsid w:val="7D3A305A"/>
    <w:rsid w:val="7F6864C3"/>
    <w:rsid w:val="BDEB1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99"/>
    <w:pPr>
      <w:ind w:firstLine="420" w:firstLineChars="200"/>
    </w:pPr>
  </w:style>
  <w:style w:type="paragraph" w:styleId="3">
    <w:name w:val="Date"/>
    <w:basedOn w:val="1"/>
    <w:next w:val="1"/>
    <w:qFormat/>
    <w:uiPriority w:val="0"/>
    <w:pPr>
      <w:ind w:left="100" w:leftChars="2500"/>
    </w:pPr>
  </w:style>
  <w:style w:type="paragraph" w:styleId="5">
    <w:name w:val="index 5"/>
    <w:basedOn w:val="1"/>
    <w:next w:val="1"/>
    <w:qFormat/>
    <w:uiPriority w:val="0"/>
    <w:pPr>
      <w:ind w:left="1680"/>
    </w:pPr>
  </w:style>
  <w:style w:type="paragraph" w:styleId="6">
    <w:name w:val="Body Text"/>
    <w:basedOn w:val="1"/>
    <w:qFormat/>
    <w:uiPriority w:val="0"/>
    <w:pPr>
      <w:spacing w:before="93" w:beforeLines="30"/>
    </w:pPr>
    <w:rPr>
      <w:rFonts w:ascii="仿宋_GB2312" w:eastAsia="仿宋_GB2312"/>
      <w:sz w:val="30"/>
    </w:r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spacing w:before="120"/>
      <w:jc w:val="left"/>
    </w:pPr>
    <w:rPr>
      <w:rFonts w:ascii="等线" w:eastAsia="等线"/>
      <w:b/>
      <w:bCs/>
      <w:i/>
      <w:iCs/>
      <w:sz w:val="24"/>
    </w:rPr>
  </w:style>
  <w:style w:type="paragraph" w:styleId="11">
    <w:name w:val="toc 2"/>
    <w:basedOn w:val="1"/>
    <w:next w:val="1"/>
    <w:unhideWhenUsed/>
    <w:qFormat/>
    <w:uiPriority w:val="39"/>
    <w:pPr>
      <w:spacing w:before="120"/>
      <w:ind w:left="300"/>
      <w:jc w:val="left"/>
    </w:pPr>
    <w:rPr>
      <w:rFonts w:ascii="等线" w:eastAsia="等线"/>
      <w:b/>
      <w:bCs/>
      <w:sz w:val="22"/>
      <w:szCs w:val="22"/>
    </w:rPr>
  </w:style>
  <w:style w:type="character" w:styleId="14">
    <w:name w:val="Emphasis"/>
    <w:qFormat/>
    <w:uiPriority w:val="0"/>
  </w:style>
  <w:style w:type="character" w:styleId="15">
    <w:name w:val="Hyperlink"/>
    <w:unhideWhenUsed/>
    <w:qFormat/>
    <w:uiPriority w:val="99"/>
    <w:rPr>
      <w:color w:val="0000FF"/>
      <w:u w:val="single"/>
    </w:rPr>
  </w:style>
  <w:style w:type="paragraph" w:customStyle="1" w:styleId="16">
    <w:name w:val="常用样式（方正仿宋简）"/>
    <w:basedOn w:val="1"/>
    <w:next w:val="1"/>
    <w:qFormat/>
    <w:uiPriority w:val="99"/>
    <w:pPr>
      <w:spacing w:line="560" w:lineRule="exact"/>
      <w:ind w:firstLine="640" w:firstLineChars="200"/>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5927</Words>
  <Characters>6392</Characters>
  <Lines>0</Lines>
  <Paragraphs>0</Paragraphs>
  <TotalTime>2</TotalTime>
  <ScaleCrop>false</ScaleCrop>
  <LinksUpToDate>false</LinksUpToDate>
  <CharactersWithSpaces>6516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2024-02-20T15:55:00Z</dcterms:created>
  <dc:creator>Administrator</dc:creator>
  <cp:lastModifiedBy>Administrator</cp:lastModifiedBy>
  <cp:lastPrinted>2024-02-22T10:06:00Z</cp:lastPrinted>
  <dcterms:modified xsi:type="dcterms:W3CDTF">2024-03-07T02:20:56Z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413F5EFCBD1A4FAEB7AFB85AA73A079E</vt:lpwstr>
  </property>
</Properties>
</file>