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方正小标宋简体" w:eastAsia="方正小标宋简体"/>
          <w:sz w:val="44"/>
          <w:szCs w:val="44"/>
          <w:lang w:val="en-US" w:eastAsia="zh-CN"/>
        </w:rPr>
      </w:pPr>
    </w:p>
    <w:p>
      <w:pPr>
        <w:widowControl/>
        <w:spacing w:line="58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中共自贡市委政法委员会</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2021</w:t>
      </w:r>
      <w:r>
        <w:rPr>
          <w:rFonts w:hint="eastAsia" w:ascii="方正小标宋简体" w:eastAsia="方正小标宋简体"/>
          <w:sz w:val="44"/>
          <w:szCs w:val="44"/>
        </w:rPr>
        <w:t>年度</w:t>
      </w:r>
      <w:r>
        <w:rPr>
          <w:rFonts w:hint="eastAsia" w:ascii="方正小标宋简体" w:eastAsia="方正小标宋简体"/>
          <w:sz w:val="44"/>
          <w:szCs w:val="44"/>
          <w:lang w:val="en-US" w:eastAsia="zh-CN"/>
        </w:rPr>
        <w:t>单位</w:t>
      </w:r>
      <w:r>
        <w:rPr>
          <w:rFonts w:hint="eastAsia" w:ascii="方正小标宋简体" w:eastAsia="方正小标宋简体"/>
          <w:sz w:val="44"/>
          <w:szCs w:val="44"/>
        </w:rPr>
        <w:t>决算编制的说明</w:t>
      </w:r>
    </w:p>
    <w:p>
      <w:pPr>
        <w:widowControl/>
        <w:jc w:val="center"/>
        <w:rPr>
          <w:rFonts w:ascii="仿宋_GB2312"/>
          <w:sz w:val="28"/>
          <w:szCs w:val="28"/>
        </w:rPr>
      </w:pPr>
    </w:p>
    <w:p>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pPr>
        <w:pStyle w:val="9"/>
        <w:spacing w:line="500" w:lineRule="exact"/>
        <w:jc w:val="center"/>
        <w:rPr>
          <w:rFonts w:hint="eastAsia" w:ascii="仿宋_GB2312" w:eastAsia="仿宋_GB2312"/>
          <w:i w:val="0"/>
          <w:color w:val="FF0000"/>
          <w:sz w:val="32"/>
        </w:rPr>
      </w:pPr>
      <w:r>
        <w:rPr>
          <w:rFonts w:hint="eastAsia" w:ascii="仿宋_GB2312" w:eastAsia="仿宋_GB2312"/>
          <w:i w:val="0"/>
          <w:color w:val="FF0000"/>
          <w:sz w:val="32"/>
        </w:rPr>
        <w:t>公开时间：202</w:t>
      </w:r>
      <w:r>
        <w:rPr>
          <w:rFonts w:hint="eastAsia" w:ascii="仿宋_GB2312" w:eastAsia="仿宋_GB2312"/>
          <w:i w:val="0"/>
          <w:color w:val="FF0000"/>
          <w:sz w:val="32"/>
          <w:lang w:val="en-US" w:eastAsia="zh-CN"/>
        </w:rPr>
        <w:t>2</w:t>
      </w:r>
      <w:r>
        <w:rPr>
          <w:rFonts w:hint="eastAsia" w:ascii="仿宋_GB2312" w:eastAsia="仿宋_GB2312"/>
          <w:i w:val="0"/>
          <w:color w:val="FF0000"/>
          <w:sz w:val="32"/>
        </w:rPr>
        <w:t>年</w:t>
      </w:r>
      <w:r>
        <w:rPr>
          <w:rFonts w:hint="eastAsia" w:ascii="仿宋_GB2312" w:eastAsia="仿宋_GB2312"/>
          <w:i w:val="0"/>
          <w:color w:val="FF0000"/>
          <w:sz w:val="32"/>
          <w:lang w:val="en-US" w:eastAsia="zh-CN"/>
        </w:rPr>
        <w:t>10</w:t>
      </w:r>
      <w:r>
        <w:rPr>
          <w:rFonts w:hint="eastAsia" w:ascii="仿宋_GB2312" w:eastAsia="仿宋_GB2312"/>
          <w:i w:val="0"/>
          <w:color w:val="FF0000"/>
          <w:sz w:val="32"/>
        </w:rPr>
        <w:t>月</w:t>
      </w:r>
      <w:r>
        <w:rPr>
          <w:rFonts w:hint="eastAsia" w:ascii="仿宋_GB2312" w:eastAsia="仿宋_GB2312"/>
          <w:i w:val="0"/>
          <w:color w:val="FF0000"/>
          <w:sz w:val="32"/>
          <w:lang w:val="en-US" w:eastAsia="zh-CN"/>
        </w:rPr>
        <w:t>20</w:t>
      </w:r>
      <w:r>
        <w:rPr>
          <w:rFonts w:hint="eastAsia" w:ascii="仿宋_GB2312" w:eastAsia="仿宋_GB2312"/>
          <w:i w:val="0"/>
          <w:color w:val="FF0000"/>
          <w:sz w:val="32"/>
        </w:rPr>
        <w:t>日</w:t>
      </w:r>
    </w:p>
    <w:p>
      <w:pPr>
        <w:pStyle w:val="9"/>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TOC \o "1-2" \h \z \u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_Toc7175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 xml:space="preserve">第一部分 </w:t>
      </w:r>
      <w:r>
        <w:rPr>
          <w:rFonts w:hint="eastAsia" w:ascii="仿宋_GB2312" w:hAnsi="仿宋_GB2312" w:eastAsia="仿宋_GB2312" w:cs="仿宋_GB2312"/>
          <w:b w:val="0"/>
          <w:bCs w:val="0"/>
          <w:i w:val="0"/>
          <w:iCs w:val="0"/>
          <w:sz w:val="32"/>
          <w:szCs w:val="32"/>
          <w:lang w:val="en-US" w:eastAsia="zh-CN"/>
        </w:rPr>
        <w:t>单位</w:t>
      </w:r>
      <w:r>
        <w:rPr>
          <w:rFonts w:hint="eastAsia" w:ascii="仿宋_GB2312" w:hAnsi="仿宋_GB2312" w:eastAsia="仿宋_GB2312" w:cs="仿宋_GB2312"/>
          <w:b w:val="0"/>
          <w:bCs w:val="0"/>
          <w:i w:val="0"/>
          <w:iCs w:val="0"/>
          <w:sz w:val="32"/>
          <w:szCs w:val="32"/>
        </w:rPr>
        <w:t>概况</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_Toc7175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_Toc3572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lang w:eastAsia="zh-CN"/>
        </w:rPr>
        <w:t>一、</w:t>
      </w:r>
      <w:r>
        <w:rPr>
          <w:rFonts w:hint="eastAsia" w:ascii="仿宋_GB2312" w:hAnsi="仿宋_GB2312" w:eastAsia="仿宋_GB2312" w:cs="仿宋_GB2312"/>
          <w:b w:val="0"/>
          <w:bCs w:val="0"/>
          <w:i w:val="0"/>
          <w:iCs w:val="0"/>
          <w:sz w:val="32"/>
          <w:szCs w:val="32"/>
          <w:highlight w:val="none"/>
        </w:rPr>
        <w:t>职能</w:t>
      </w:r>
      <w:r>
        <w:rPr>
          <w:rFonts w:hint="eastAsia" w:ascii="仿宋_GB2312" w:hAnsi="仿宋_GB2312" w:eastAsia="仿宋_GB2312" w:cs="仿宋_GB2312"/>
          <w:b w:val="0"/>
          <w:bCs w:val="0"/>
          <w:i w:val="0"/>
          <w:iCs w:val="0"/>
          <w:sz w:val="32"/>
          <w:szCs w:val="32"/>
          <w:highlight w:val="none"/>
          <w:lang w:eastAsia="zh-CN"/>
        </w:rPr>
        <w:t>简介</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_Toc3572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_Toc32381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lang w:val="en-US" w:eastAsia="zh-CN"/>
        </w:rPr>
        <w:t>二、2021年重点</w:t>
      </w:r>
      <w:r>
        <w:rPr>
          <w:rFonts w:hint="eastAsia" w:ascii="仿宋_GB2312" w:hAnsi="仿宋_GB2312" w:eastAsia="仿宋_GB2312" w:cs="仿宋_GB2312"/>
          <w:b w:val="0"/>
          <w:bCs w:val="0"/>
          <w:i w:val="0"/>
          <w:iCs w:val="0"/>
          <w:sz w:val="32"/>
          <w:szCs w:val="32"/>
          <w:highlight w:val="none"/>
        </w:rPr>
        <w:t>工作</w:t>
      </w:r>
      <w:r>
        <w:rPr>
          <w:rFonts w:hint="eastAsia" w:ascii="仿宋_GB2312" w:hAnsi="仿宋_GB2312" w:eastAsia="仿宋_GB2312" w:cs="仿宋_GB2312"/>
          <w:b w:val="0"/>
          <w:bCs w:val="0"/>
          <w:i w:val="0"/>
          <w:iCs w:val="0"/>
          <w:sz w:val="32"/>
          <w:szCs w:val="32"/>
          <w:highlight w:val="none"/>
          <w:lang w:eastAsia="zh-CN"/>
        </w:rPr>
        <w:t>完成情况</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_Toc32381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9"/>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_Toc18018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第二部分 202</w:t>
      </w:r>
      <w:r>
        <w:rPr>
          <w:rFonts w:hint="eastAsia" w:ascii="仿宋_GB2312" w:hAnsi="仿宋_GB2312" w:eastAsia="仿宋_GB2312" w:cs="仿宋_GB2312"/>
          <w:b w:val="0"/>
          <w:bCs w:val="0"/>
          <w:i w:val="0"/>
          <w:iCs w:val="0"/>
          <w:sz w:val="32"/>
          <w:szCs w:val="32"/>
          <w:lang w:val="en-US" w:eastAsia="zh-CN"/>
        </w:rPr>
        <w:t>1</w:t>
      </w:r>
      <w:r>
        <w:rPr>
          <w:rFonts w:hint="eastAsia" w:ascii="仿宋_GB2312" w:hAnsi="仿宋_GB2312" w:eastAsia="仿宋_GB2312" w:cs="仿宋_GB2312"/>
          <w:b w:val="0"/>
          <w:bCs w:val="0"/>
          <w:i w:val="0"/>
          <w:iCs w:val="0"/>
          <w:sz w:val="32"/>
          <w:szCs w:val="32"/>
        </w:rPr>
        <w:t>年度</w:t>
      </w:r>
      <w:r>
        <w:rPr>
          <w:rFonts w:hint="eastAsia" w:ascii="仿宋_GB2312" w:hAnsi="仿宋_GB2312" w:eastAsia="仿宋_GB2312" w:cs="仿宋_GB2312"/>
          <w:b w:val="0"/>
          <w:bCs w:val="0"/>
          <w:i w:val="0"/>
          <w:iCs w:val="0"/>
          <w:sz w:val="32"/>
          <w:szCs w:val="32"/>
          <w:lang w:val="en-US" w:eastAsia="zh-CN"/>
        </w:rPr>
        <w:t>单位</w:t>
      </w:r>
      <w:r>
        <w:rPr>
          <w:rFonts w:hint="eastAsia" w:ascii="仿宋_GB2312" w:hAnsi="仿宋_GB2312" w:eastAsia="仿宋_GB2312" w:cs="仿宋_GB2312"/>
          <w:b w:val="0"/>
          <w:bCs w:val="0"/>
          <w:i w:val="0"/>
          <w:iCs w:val="0"/>
          <w:sz w:val="32"/>
          <w:szCs w:val="32"/>
        </w:rPr>
        <w:t>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_Toc18018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_Toc7398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 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_Toc7398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_Toc24241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 收入决算情况说明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_Toc24241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_Toc6526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三、 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_Toc6526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_Toc14334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四、财政拨款收入支出决算总体情况说明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_Toc14334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_Toc16755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五、一般公共预算财政拨款支出决算情况说明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_Toc16755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_Toc16675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六、一般公共预算财政拨款基本支出决算情况说明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_Toc16675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7</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_Toc19737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七、“三公”经费财政拨款支出决算情况说明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_Toc19737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8</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_Toc10901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八、政府性基金预算支出决算情况说明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_Toc10901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_Toc26293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九、 国有资本经营预算支出决算情况说明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_Toc26293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_Toc27271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十、其他重要事项的情况说明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_Toc27271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9"/>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_Toc21676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第三部分 名词解释</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_Toc21676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9"/>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_Toc6879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第四部分 附件</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_Toc6879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_Toc18966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附件</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_Toc18966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9"/>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_Toc18418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第五部分 附表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_Toc18418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_Toc14600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_Toc14600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_Toc15925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二、收入决算表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_Toc15925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_Toc7187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三、支出决算表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_Toc7187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_Toc5686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四、财政拨款收入支出决算总表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_Toc5686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_Toc6343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五、财政拨款支出决算明细表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_Toc6343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_Toc31131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六、一般公共预算财政拨款支出决算表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_Toc31131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_Toc11064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七、一般公共预算财政拨款支出决算明细表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_Toc11064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_Toc12549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八、一般公共预算财政拨款基本支出决算表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_Toc12549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_Toc19168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九、一般公共预算财政拨款项目支出决算表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_Toc19168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_Toc18941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十、一般公共预算财政拨款“三公”经费支出决算表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_Toc18941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_Toc15180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十一、政府性基金预算财政拨款收入支出决算表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_Toc15180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_Toc23897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十二、政府性基金预算财政拨款“三公”经费支出决算表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_Toc23897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_Toc3960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十三、国有资本经营预算财政拨款收入支出决算表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_Toc3960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pStyle w:val="10"/>
        <w:tabs>
          <w:tab w:val="right" w:leader="dot" w:pos="8306"/>
        </w:tabs>
        <w:spacing w:line="240" w:lineRule="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_Toc441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十四、国有资本经营预算财政拨款支出决算表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_Toc441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2400" w:firstLineChars="750"/>
        <w:textAlignment w:val="auto"/>
        <w:rPr>
          <w:rFonts w:hint="eastAsia" w:ascii="仿宋_GB2312" w:hAnsi="仿宋"/>
          <w:color w:val="FF0000"/>
          <w:szCs w:val="32"/>
        </w:rPr>
      </w:pPr>
      <w:r>
        <w:rPr>
          <w:rFonts w:hint="eastAsia" w:ascii="仿宋_GB2312" w:hAnsi="仿宋_GB2312" w:eastAsia="仿宋_GB2312" w:cs="仿宋_GB2312"/>
          <w:b w:val="0"/>
          <w:bCs w:val="0"/>
          <w:i w:val="0"/>
          <w:iCs w:val="0"/>
          <w:caps/>
          <w:sz w:val="32"/>
          <w:szCs w:val="32"/>
        </w:rPr>
        <w:fldChar w:fldCharType="end"/>
      </w:r>
    </w:p>
    <w:p>
      <w:r>
        <w:br w:type="page"/>
      </w:r>
    </w:p>
    <w:p>
      <w:pPr>
        <w:pStyle w:val="3"/>
        <w:jc w:val="center"/>
        <w:rPr>
          <w:rStyle w:val="16"/>
          <w:rFonts w:ascii="黑体" w:hAnsi="黑体" w:eastAsia="黑体"/>
          <w:b/>
          <w:bCs w:val="0"/>
        </w:rPr>
      </w:pPr>
      <w:bookmarkStart w:id="0" w:name="_Toc7175"/>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lang w:val="en-US" w:eastAsia="zh-CN"/>
        </w:rPr>
        <w:t>单位</w:t>
      </w:r>
      <w:r>
        <w:rPr>
          <w:rStyle w:val="16"/>
          <w:rFonts w:hint="eastAsia" w:ascii="黑体" w:hAnsi="黑体" w:eastAsia="黑体"/>
          <w:b w:val="0"/>
          <w:bCs w:val="0"/>
        </w:rPr>
        <w:t>概况</w:t>
      </w:r>
      <w:bookmarkEnd w:id="0"/>
    </w:p>
    <w:p>
      <w:pPr>
        <w:widowControl/>
        <w:jc w:val="left"/>
        <w:rPr>
          <w:rFonts w:ascii="黑体" w:eastAsia="黑体"/>
          <w:color w:val="000000"/>
          <w:sz w:val="32"/>
          <w:szCs w:val="32"/>
        </w:rPr>
      </w:pPr>
    </w:p>
    <w:p>
      <w:pPr>
        <w:pStyle w:val="4"/>
        <w:numPr>
          <w:ilvl w:val="0"/>
          <w:numId w:val="0"/>
        </w:numPr>
        <w:rPr>
          <w:rStyle w:val="20"/>
          <w:rFonts w:hint="eastAsia" w:ascii="黑体" w:hAnsi="黑体" w:eastAsia="黑体"/>
          <w:b w:val="0"/>
          <w:bCs w:val="0"/>
          <w:color w:val="auto"/>
          <w:highlight w:val="none"/>
          <w:lang w:eastAsia="zh-CN"/>
        </w:rPr>
      </w:pPr>
      <w:bookmarkStart w:id="1" w:name="_Toc3572"/>
      <w:bookmarkStart w:id="2" w:name="_Toc15377197"/>
      <w:bookmarkStart w:id="3" w:name="_Toc15396600"/>
      <w:r>
        <w:rPr>
          <w:rStyle w:val="20"/>
          <w:rFonts w:hint="eastAsia" w:ascii="黑体" w:hAnsi="黑体" w:eastAsia="黑体"/>
          <w:b w:val="0"/>
          <w:bCs w:val="0"/>
          <w:color w:val="auto"/>
          <w:highlight w:val="none"/>
          <w:lang w:eastAsia="zh-CN"/>
        </w:rPr>
        <w:t>一、</w:t>
      </w:r>
      <w:r>
        <w:rPr>
          <w:rStyle w:val="20"/>
          <w:rFonts w:hint="eastAsia" w:ascii="黑体" w:hAnsi="黑体" w:eastAsia="黑体"/>
          <w:b w:val="0"/>
          <w:bCs w:val="0"/>
          <w:color w:val="auto"/>
          <w:highlight w:val="none"/>
        </w:rPr>
        <w:t>职能</w:t>
      </w:r>
      <w:r>
        <w:rPr>
          <w:rStyle w:val="20"/>
          <w:rFonts w:hint="eastAsia" w:ascii="黑体" w:hAnsi="黑体" w:eastAsia="黑体"/>
          <w:b w:val="0"/>
          <w:bCs w:val="0"/>
          <w:color w:val="auto"/>
          <w:highlight w:val="none"/>
          <w:lang w:eastAsia="zh-CN"/>
        </w:rPr>
        <w:t>简介</w:t>
      </w:r>
      <w:bookmarkEnd w:id="1"/>
    </w:p>
    <w:p>
      <w:pPr>
        <w:pStyle w:val="2"/>
        <w:adjustRightInd w:val="0"/>
        <w:snapToGrid w:val="0"/>
        <w:spacing w:line="580" w:lineRule="exact"/>
        <w:ind w:firstLine="640" w:firstLineChars="200"/>
        <w:jc w:val="left"/>
        <w:rPr>
          <w:rFonts w:hint="eastAsia" w:ascii="仿宋_GB2312" w:hAnsi="仿宋" w:eastAsia="仿宋_GB2312"/>
          <w:sz w:val="32"/>
          <w:szCs w:val="32"/>
          <w:lang w:eastAsia="zh-CN"/>
        </w:rPr>
      </w:pPr>
      <w:bookmarkStart w:id="4" w:name="_Toc32381"/>
      <w:r>
        <w:rPr>
          <w:rFonts w:hint="eastAsia" w:ascii="仿宋_GB2312" w:hAnsi="仿宋" w:eastAsia="仿宋_GB2312"/>
          <w:sz w:val="32"/>
          <w:szCs w:val="32"/>
        </w:rPr>
        <w:t>以习近平新时代中国特色社会主义思想为指导，深入学习贯彻党的十九大、省委十一届二次全会、市委十二届五次全会精神，全面贯彻中央、省委、</w:t>
      </w:r>
      <w:r>
        <w:rPr>
          <w:rFonts w:hint="eastAsia" w:hAnsi="仿宋"/>
          <w:sz w:val="32"/>
          <w:szCs w:val="32"/>
          <w:lang w:eastAsia="zh-CN"/>
        </w:rPr>
        <w:t>市委</w:t>
      </w:r>
      <w:r>
        <w:rPr>
          <w:rFonts w:hint="eastAsia" w:ascii="仿宋_GB2312" w:hAnsi="仿宋" w:eastAsia="仿宋_GB2312"/>
          <w:sz w:val="32"/>
          <w:szCs w:val="32"/>
        </w:rPr>
        <w:t>政法工作会议精神，增强“四个意识”，坚持“四个自信”，坚持党对政法工作的绝对领导，坚持以人民为中心的发展思想，坚持稳中求进工作总基调，紧紧围绕争创新一轮</w:t>
      </w:r>
      <w:r>
        <w:rPr>
          <w:rFonts w:hint="eastAsia" w:hAnsi="仿宋"/>
          <w:sz w:val="32"/>
          <w:szCs w:val="32"/>
          <w:lang w:eastAsia="zh-CN"/>
        </w:rPr>
        <w:t>平安建设示范市</w:t>
      </w:r>
      <w:r>
        <w:rPr>
          <w:rFonts w:hint="eastAsia" w:ascii="仿宋_GB2312" w:hAnsi="仿宋" w:eastAsia="仿宋_GB2312"/>
          <w:sz w:val="32"/>
          <w:szCs w:val="32"/>
        </w:rPr>
        <w:t>的目标，以全面深化改革、现代科技应用为动力，扎实推进平安建设、法治建设、过硬队伍建设和智能化建设，履行好维护国家政治安全、确保社会大局稳定、促进社会公平正义、保障人民安居乐业的主要任务，不断提升新时代政法工作能力水平，为建设</w:t>
      </w:r>
      <w:r>
        <w:rPr>
          <w:rFonts w:hint="eastAsia" w:hAnsi="仿宋"/>
          <w:sz w:val="32"/>
          <w:szCs w:val="32"/>
          <w:lang w:eastAsia="zh-CN"/>
        </w:rPr>
        <w:t>新时代深化改革扩大开放示范城市提供坚强有力</w:t>
      </w:r>
      <w:r>
        <w:rPr>
          <w:rFonts w:hint="eastAsia" w:ascii="仿宋_GB2312" w:hAnsi="仿宋" w:eastAsia="仿宋_GB2312"/>
          <w:sz w:val="32"/>
          <w:szCs w:val="32"/>
        </w:rPr>
        <w:t>的政治</w:t>
      </w:r>
      <w:r>
        <w:rPr>
          <w:rFonts w:hint="eastAsia" w:hAnsi="仿宋"/>
          <w:sz w:val="32"/>
          <w:szCs w:val="32"/>
          <w:lang w:eastAsia="zh-CN"/>
        </w:rPr>
        <w:t>保障。</w:t>
      </w:r>
    </w:p>
    <w:p>
      <w:pPr>
        <w:pStyle w:val="4"/>
        <w:numPr>
          <w:ilvl w:val="0"/>
          <w:numId w:val="0"/>
        </w:numPr>
        <w:rPr>
          <w:rFonts w:hint="eastAsia" w:ascii="黑体" w:hAnsi="黑体" w:eastAsia="黑体"/>
          <w:b w:val="0"/>
          <w:color w:val="auto"/>
          <w:highlight w:val="none"/>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2"/>
      <w:bookmarkEnd w:id="3"/>
      <w:r>
        <w:rPr>
          <w:rFonts w:hint="eastAsia" w:ascii="黑体" w:hAnsi="黑体" w:eastAsia="黑体"/>
          <w:b w:val="0"/>
          <w:color w:val="auto"/>
          <w:highlight w:val="none"/>
          <w:lang w:eastAsia="zh-CN"/>
        </w:rPr>
        <w:t>完成情况</w:t>
      </w:r>
      <w:bookmarkEnd w:id="4"/>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left"/>
        <w:textAlignment w:val="auto"/>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default" w:ascii="仿宋_GB2312" w:hAnsi="仿宋" w:eastAsia="仿宋_GB2312" w:cs="Times New Roman"/>
          <w:color w:val="000000" w:themeColor="text1"/>
          <w:sz w:val="32"/>
          <w:szCs w:val="32"/>
          <w:lang w:val="en-US" w:eastAsia="zh-CN"/>
          <w14:textFill>
            <w14:solidFill>
              <w14:schemeClr w14:val="tx1"/>
            </w14:solidFill>
          </w14:textFill>
        </w:rPr>
        <w:t>2021年，在市委的坚强领导下，</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全市政法系统始终</w:t>
      </w:r>
      <w:r>
        <w:rPr>
          <w:rFonts w:hint="default" w:ascii="仿宋_GB2312" w:hAnsi="仿宋" w:eastAsia="仿宋_GB2312" w:cs="Times New Roman"/>
          <w:color w:val="000000" w:themeColor="text1"/>
          <w:sz w:val="32"/>
          <w:szCs w:val="32"/>
          <w:lang w:val="en-US" w:eastAsia="zh-CN"/>
          <w14:textFill>
            <w14:solidFill>
              <w14:schemeClr w14:val="tx1"/>
            </w14:solidFill>
          </w14:textFill>
        </w:rPr>
        <w:t>坚持以习近平新时代中国特色社会主义思想为指导，认真贯彻落实党</w:t>
      </w:r>
      <w:r>
        <w:rPr>
          <w:rFonts w:hint="eastAsia" w:ascii="仿宋_GB2312" w:hAnsi="仿宋" w:eastAsia="仿宋_GB2312" w:cs="Times New Roman"/>
          <w:color w:val="000000" w:themeColor="text1"/>
          <w:sz w:val="32"/>
          <w:szCs w:val="32"/>
          <w:lang w:val="en-US" w:eastAsia="zh-CN"/>
          <w14:textFill>
            <w14:solidFill>
              <w14:schemeClr w14:val="tx1"/>
            </w14:solidFill>
          </w14:textFill>
        </w:rPr>
        <w:t>中央大政方针、省委决策部署和市委工作要求，</w:t>
      </w:r>
      <w:r>
        <w:rPr>
          <w:rFonts w:hint="default" w:ascii="仿宋_GB2312" w:hAnsi="仿宋" w:eastAsia="仿宋_GB2312" w:cs="Times New Roman"/>
          <w:color w:val="000000" w:themeColor="text1"/>
          <w:sz w:val="32"/>
          <w:szCs w:val="32"/>
          <w:lang w:val="en-US" w:eastAsia="zh-CN"/>
          <w14:textFill>
            <w14:solidFill>
              <w14:schemeClr w14:val="tx1"/>
            </w14:solidFill>
          </w14:textFill>
        </w:rPr>
        <w:t>以为建党100周年创造</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安全</w:t>
      </w:r>
      <w:r>
        <w:rPr>
          <w:rFonts w:hint="default" w:ascii="仿宋_GB2312" w:hAnsi="仿宋" w:eastAsia="仿宋_GB2312" w:cs="Times New Roman"/>
          <w:color w:val="000000" w:themeColor="text1"/>
          <w:sz w:val="32"/>
          <w:szCs w:val="32"/>
          <w:lang w:val="en-US" w:eastAsia="zh-CN"/>
          <w14:textFill>
            <w14:solidFill>
              <w14:schemeClr w14:val="tx1"/>
            </w14:solidFill>
          </w14:textFill>
        </w:rPr>
        <w:t>稳定和谐的政治社会环境为主线，全力以赴防风险、保</w:t>
      </w:r>
      <w:r>
        <w:rPr>
          <w:rFonts w:hint="eastAsia" w:hAnsi="仿宋" w:cs="Times New Roman"/>
          <w:color w:val="000000" w:themeColor="text1"/>
          <w:sz w:val="32"/>
          <w:szCs w:val="32"/>
          <w:lang w:val="en-US" w:eastAsia="zh-CN"/>
          <w14:textFill>
            <w14:solidFill>
              <w14:schemeClr w14:val="tx1"/>
            </w14:solidFill>
          </w14:textFill>
        </w:rPr>
        <w:t>安全</w:t>
      </w:r>
      <w:r>
        <w:rPr>
          <w:rFonts w:hint="default" w:ascii="仿宋_GB2312" w:hAnsi="仿宋" w:eastAsia="仿宋_GB2312" w:cs="Times New Roman"/>
          <w:color w:val="000000" w:themeColor="text1"/>
          <w:sz w:val="32"/>
          <w:szCs w:val="32"/>
          <w:lang w:val="en-US" w:eastAsia="zh-CN"/>
          <w14:textFill>
            <w14:solidFill>
              <w14:schemeClr w14:val="tx1"/>
            </w14:solidFill>
          </w14:textFill>
        </w:rPr>
        <w:t>、护稳定、促发展，政法队伍</w:t>
      </w:r>
      <w:r>
        <w:rPr>
          <w:rFonts w:hint="eastAsia" w:ascii="仿宋_GB2312" w:hAnsi="仿宋" w:eastAsia="仿宋_GB2312" w:cs="Times New Roman"/>
          <w:color w:val="000000" w:themeColor="text1"/>
          <w:sz w:val="32"/>
          <w:szCs w:val="32"/>
          <w:lang w:val="en-US" w:eastAsia="zh-CN"/>
          <w14:textFill>
            <w14:solidFill>
              <w14:schemeClr w14:val="tx1"/>
            </w14:solidFill>
          </w14:textFill>
        </w:rPr>
        <w:t>教育整顿获中央第十四督导组和省委政法委充分肯定，</w:t>
      </w:r>
      <w:r>
        <w:rPr>
          <w:rFonts w:hint="eastAsia" w:ascii="仿宋_GB2312" w:hAnsi="仿宋" w:eastAsia="仿宋_GB2312" w:cs="Times New Roman"/>
          <w:color w:val="000000" w:themeColor="text1"/>
          <w:sz w:val="32"/>
          <w:szCs w:val="32"/>
          <w:lang w:eastAsia="zh-CN"/>
          <w14:textFill>
            <w14:solidFill>
              <w14:schemeClr w14:val="tx1"/>
            </w14:solidFill>
          </w14:textFill>
        </w:rPr>
        <w:t>成功创建</w:t>
      </w:r>
      <w:r>
        <w:rPr>
          <w:rFonts w:hint="default" w:ascii="仿宋_GB2312" w:hAnsi="仿宋" w:eastAsia="仿宋_GB2312" w:cs="Times New Roman"/>
          <w:color w:val="000000" w:themeColor="text1"/>
          <w:sz w:val="32"/>
          <w:szCs w:val="32"/>
          <w:lang w:val="en-US" w:eastAsia="zh-CN"/>
          <w14:textFill>
            <w14:solidFill>
              <w14:schemeClr w14:val="tx1"/>
            </w14:solidFill>
          </w14:textFill>
        </w:rPr>
        <w:t>2017</w:t>
      </w:r>
      <w:r>
        <w:rPr>
          <w:rFonts w:hint="eastAsia" w:ascii="仿宋_GB2312" w:hAnsi="仿宋" w:eastAsia="仿宋_GB2312" w:cs="Times New Roman"/>
          <w:color w:val="000000" w:themeColor="text1"/>
          <w:sz w:val="32"/>
          <w:szCs w:val="32"/>
          <w:lang w:val="en-US" w:eastAsia="zh-CN"/>
          <w14:textFill>
            <w14:solidFill>
              <w14:schemeClr w14:val="tx1"/>
            </w14:solidFill>
          </w14:textFill>
        </w:rPr>
        <w:t>-</w:t>
      </w:r>
      <w:r>
        <w:rPr>
          <w:rFonts w:hint="default" w:ascii="仿宋_GB2312" w:hAnsi="仿宋" w:eastAsia="仿宋_GB2312" w:cs="Times New Roman"/>
          <w:color w:val="000000" w:themeColor="text1"/>
          <w:sz w:val="32"/>
          <w:szCs w:val="32"/>
          <w:lang w:val="en-US" w:eastAsia="zh-CN"/>
          <w14:textFill>
            <w14:solidFill>
              <w14:schemeClr w14:val="tx1"/>
            </w14:solidFill>
          </w14:textFill>
        </w:rPr>
        <w:t>2020</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年度平安中国建设示范市，</w:t>
      </w:r>
      <w:r>
        <w:rPr>
          <w:rFonts w:hint="default" w:ascii="仿宋_GB2312" w:hAnsi="仿宋" w:eastAsia="仿宋_GB2312" w:cs="Times New Roman"/>
          <w:color w:val="000000" w:themeColor="text1"/>
          <w:sz w:val="32"/>
          <w:szCs w:val="32"/>
          <w:lang w:val="en-US" w:eastAsia="zh-CN"/>
          <w14:textFill>
            <w14:solidFill>
              <w14:schemeClr w14:val="tx1"/>
            </w14:solidFill>
          </w14:textFill>
        </w:rPr>
        <w:t>全市政法工作</w:t>
      </w:r>
      <w:r>
        <w:rPr>
          <w:rFonts w:hint="eastAsia" w:ascii="仿宋_GB2312" w:hAnsi="仿宋" w:eastAsia="仿宋_GB2312" w:cs="Times New Roman"/>
          <w:color w:val="000000" w:themeColor="text1"/>
          <w:sz w:val="32"/>
          <w:szCs w:val="32"/>
          <w:lang w:val="en-US" w:eastAsia="zh-CN"/>
          <w14:textFill>
            <w14:solidFill>
              <w14:schemeClr w14:val="tx1"/>
            </w14:solidFill>
          </w14:textFill>
        </w:rPr>
        <w:t>迈上新台阶。</w:t>
      </w:r>
    </w:p>
    <w:p>
      <w:pPr>
        <w:widowControl/>
        <w:jc w:val="left"/>
        <w:rPr>
          <w:rFonts w:ascii="仿宋" w:hAnsi="仿宋" w:eastAsia="仿宋"/>
          <w:color w:val="000000"/>
          <w:kern w:val="0"/>
          <w:sz w:val="32"/>
          <w:szCs w:val="32"/>
        </w:rPr>
      </w:pPr>
    </w:p>
    <w:p>
      <w:pPr>
        <w:rPr>
          <w:rFonts w:hint="eastAsia" w:ascii="黑体" w:hAnsi="黑体" w:eastAsia="黑体"/>
          <w:b w:val="0"/>
          <w:color w:val="000000"/>
        </w:rPr>
      </w:pPr>
      <w:bookmarkStart w:id="5" w:name="_Toc15396602"/>
      <w:bookmarkStart w:id="6" w:name="_Toc15377204"/>
      <w:r>
        <w:rPr>
          <w:rFonts w:hint="eastAsia" w:ascii="黑体" w:hAnsi="黑体" w:eastAsia="黑体"/>
          <w:b w:val="0"/>
          <w:color w:val="000000"/>
        </w:rPr>
        <w:br w:type="page"/>
      </w:r>
    </w:p>
    <w:p>
      <w:pPr>
        <w:pStyle w:val="3"/>
        <w:ind w:right="440"/>
        <w:jc w:val="right"/>
        <w:rPr>
          <w:rStyle w:val="16"/>
          <w:rFonts w:ascii="黑体" w:hAnsi="黑体" w:eastAsia="黑体"/>
          <w:b w:val="0"/>
          <w:bCs w:val="0"/>
        </w:rPr>
      </w:pPr>
      <w:bookmarkStart w:id="7" w:name="_Toc18018"/>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202</w:t>
      </w:r>
      <w:r>
        <w:rPr>
          <w:rStyle w:val="16"/>
          <w:rFonts w:hint="eastAsia" w:ascii="黑体" w:hAnsi="黑体" w:eastAsia="黑体"/>
          <w:b w:val="0"/>
          <w:bCs w:val="0"/>
          <w:lang w:val="en-US" w:eastAsia="zh-CN"/>
        </w:rPr>
        <w:t>1</w:t>
      </w:r>
      <w:r>
        <w:rPr>
          <w:rStyle w:val="16"/>
          <w:rFonts w:hint="eastAsia" w:ascii="黑体" w:hAnsi="黑体" w:eastAsia="黑体"/>
          <w:b w:val="0"/>
          <w:bCs w:val="0"/>
        </w:rPr>
        <w:t>年度</w:t>
      </w:r>
      <w:r>
        <w:rPr>
          <w:rStyle w:val="16"/>
          <w:rFonts w:hint="eastAsia" w:ascii="黑体" w:hAnsi="黑体" w:eastAsia="黑体"/>
          <w:b w:val="0"/>
          <w:bCs w:val="0"/>
          <w:lang w:val="en-US" w:eastAsia="zh-CN"/>
        </w:rPr>
        <w:t>单位</w:t>
      </w:r>
      <w:r>
        <w:rPr>
          <w:rStyle w:val="16"/>
          <w:rFonts w:hint="eastAsia" w:ascii="黑体" w:hAnsi="黑体" w:eastAsia="黑体"/>
          <w:b w:val="0"/>
          <w:bCs w:val="0"/>
        </w:rPr>
        <w:t>决算情况说明</w:t>
      </w:r>
      <w:bookmarkEnd w:id="5"/>
      <w:bookmarkEnd w:id="6"/>
      <w:bookmarkEnd w:id="7"/>
    </w:p>
    <w:p/>
    <w:p>
      <w:pPr>
        <w:pStyle w:val="18"/>
        <w:numPr>
          <w:ilvl w:val="0"/>
          <w:numId w:val="1"/>
        </w:numPr>
        <w:spacing w:line="600" w:lineRule="exact"/>
        <w:ind w:firstLineChars="0"/>
        <w:outlineLvl w:val="1"/>
        <w:rPr>
          <w:rStyle w:val="17"/>
          <w:rFonts w:ascii="黑体" w:hAnsi="黑体" w:eastAsia="黑体"/>
          <w:b w:val="0"/>
        </w:rPr>
      </w:pPr>
      <w:bookmarkStart w:id="8" w:name="_Toc15396603"/>
      <w:bookmarkStart w:id="9" w:name="_Toc7398"/>
      <w:bookmarkStart w:id="10" w:name="_Toc15377205"/>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8"/>
      <w:bookmarkEnd w:id="9"/>
      <w:bookmarkEnd w:id="10"/>
    </w:p>
    <w:p>
      <w:pPr>
        <w:spacing w:line="560" w:lineRule="exact"/>
        <w:ind w:firstLine="640" w:firstLineChars="200"/>
        <w:rPr>
          <w:rFonts w:hint="eastAsia" w:ascii="仿宋_GB2312" w:hAnsi="仿宋"/>
          <w:szCs w:val="32"/>
        </w:rPr>
      </w:pPr>
      <w:r>
        <w:rPr>
          <w:rFonts w:hint="eastAsia" w:ascii="仿宋" w:hAnsi="仿宋" w:eastAsia="仿宋"/>
          <w:color w:val="000000"/>
          <w:szCs w:val="32"/>
          <w:lang w:eastAsia="zh-CN"/>
        </w:rPr>
        <w:t>2021</w:t>
      </w:r>
      <w:r>
        <w:rPr>
          <w:rFonts w:hint="eastAsia" w:ascii="仿宋" w:hAnsi="仿宋" w:eastAsia="仿宋"/>
          <w:color w:val="000000"/>
          <w:szCs w:val="32"/>
        </w:rPr>
        <w:t>年度收、支</w:t>
      </w:r>
      <w:r>
        <w:rPr>
          <w:rFonts w:hint="eastAsia" w:ascii="仿宋" w:hAnsi="仿宋" w:eastAsia="仿宋"/>
          <w:color w:val="000000"/>
          <w:szCs w:val="32"/>
          <w:lang w:eastAsia="zh-CN"/>
        </w:rPr>
        <w:t>分别</w:t>
      </w:r>
      <w:r>
        <w:rPr>
          <w:rFonts w:hint="eastAsia" w:ascii="仿宋" w:hAnsi="仿宋" w:eastAsia="仿宋"/>
          <w:color w:val="000000"/>
          <w:szCs w:val="32"/>
        </w:rPr>
        <w:t>总计</w:t>
      </w:r>
      <w:r>
        <w:rPr>
          <w:rFonts w:hint="eastAsia" w:ascii="仿宋" w:hAnsi="仿宋" w:eastAsia="仿宋"/>
          <w:color w:val="000000"/>
          <w:szCs w:val="32"/>
          <w:lang w:val="en-US" w:eastAsia="zh-CN"/>
        </w:rPr>
        <w:t>1478.65</w:t>
      </w:r>
      <w:r>
        <w:rPr>
          <w:rFonts w:hint="eastAsia" w:ascii="仿宋" w:hAnsi="仿宋" w:eastAsia="仿宋"/>
          <w:color w:val="000000"/>
          <w:szCs w:val="32"/>
        </w:rPr>
        <w:t>万元。与</w:t>
      </w:r>
      <w:r>
        <w:rPr>
          <w:rFonts w:hint="eastAsia" w:ascii="仿宋" w:hAnsi="仿宋" w:eastAsia="仿宋"/>
          <w:color w:val="000000"/>
          <w:szCs w:val="32"/>
          <w:lang w:eastAsia="zh-CN"/>
        </w:rPr>
        <w:t>2020</w:t>
      </w:r>
      <w:r>
        <w:rPr>
          <w:rFonts w:hint="eastAsia" w:ascii="仿宋" w:hAnsi="仿宋" w:eastAsia="仿宋"/>
          <w:color w:val="000000"/>
          <w:szCs w:val="32"/>
        </w:rPr>
        <w:t>年相比，收、支总计各</w:t>
      </w:r>
      <w:r>
        <w:rPr>
          <w:rFonts w:hint="eastAsia" w:ascii="仿宋" w:hAnsi="仿宋" w:eastAsia="仿宋"/>
          <w:szCs w:val="32"/>
        </w:rPr>
        <w:t>增加</w:t>
      </w:r>
      <w:r>
        <w:rPr>
          <w:rFonts w:hint="eastAsia" w:ascii="仿宋" w:hAnsi="仿宋" w:eastAsia="仿宋"/>
          <w:szCs w:val="32"/>
          <w:lang w:val="en-US" w:eastAsia="zh-CN"/>
        </w:rPr>
        <w:t>59.09</w:t>
      </w:r>
      <w:r>
        <w:rPr>
          <w:rFonts w:hint="eastAsia" w:ascii="仿宋" w:hAnsi="仿宋" w:eastAsia="仿宋"/>
          <w:color w:val="000000"/>
          <w:szCs w:val="32"/>
        </w:rPr>
        <w:t>万元，增长</w:t>
      </w:r>
      <w:r>
        <w:rPr>
          <w:rFonts w:hint="eastAsia" w:ascii="仿宋" w:hAnsi="仿宋" w:eastAsia="仿宋"/>
          <w:color w:val="000000"/>
          <w:szCs w:val="32"/>
          <w:lang w:val="en-US" w:eastAsia="zh-CN"/>
        </w:rPr>
        <w:t>4</w:t>
      </w:r>
      <w:r>
        <w:rPr>
          <w:rFonts w:hint="eastAsia" w:ascii="仿宋" w:hAnsi="仿宋" w:eastAsia="仿宋"/>
          <w:color w:val="000000"/>
          <w:szCs w:val="32"/>
        </w:rPr>
        <w:t>%。主要变动原因是</w:t>
      </w:r>
      <w:r>
        <w:rPr>
          <w:rFonts w:hint="eastAsia" w:ascii="仿宋" w:hAnsi="仿宋" w:eastAsia="仿宋"/>
          <w:color w:val="000000"/>
          <w:szCs w:val="32"/>
          <w:lang w:eastAsia="zh-CN"/>
        </w:rPr>
        <w:t>当年有</w:t>
      </w:r>
      <w:r>
        <w:rPr>
          <w:rFonts w:hint="eastAsia" w:ascii="仿宋" w:hAnsi="仿宋" w:eastAsia="仿宋"/>
          <w:color w:val="000000" w:themeColor="text1"/>
          <w:szCs w:val="32"/>
          <w:lang w:eastAsia="zh-CN"/>
          <w14:textFill>
            <w14:solidFill>
              <w14:schemeClr w14:val="tx1"/>
            </w14:solidFill>
          </w14:textFill>
        </w:rPr>
        <w:t>政法队伍</w:t>
      </w:r>
      <w:r>
        <w:rPr>
          <w:rFonts w:hint="eastAsia" w:ascii="仿宋_GB2312" w:hAnsi="仿宋" w:eastAsia="仿宋"/>
          <w:szCs w:val="32"/>
          <w:lang w:eastAsia="zh-CN"/>
        </w:rPr>
        <w:t>教育整顿新增了预算资金</w:t>
      </w:r>
      <w:r>
        <w:rPr>
          <w:rFonts w:hint="eastAsia" w:ascii="仿宋_GB2312" w:hAnsi="仿宋"/>
          <w:szCs w:val="32"/>
        </w:rPr>
        <w:t>。</w:t>
      </w:r>
    </w:p>
    <w:p>
      <w:pPr>
        <w:pStyle w:val="5"/>
        <w:ind w:left="0" w:leftChars="0" w:firstLine="0" w:firstLineChars="0"/>
      </w:pPr>
      <w:r>
        <w:rPr>
          <w:rFonts w:hint="eastAsia"/>
          <w:lang w:val="en-US" w:eastAsia="zh-CN"/>
        </w:rPr>
        <w:t xml:space="preserve">          </w:t>
      </w:r>
      <w:r>
        <w:rPr>
          <w:rFonts w:hint="eastAsia" w:eastAsia="仿宋_GB2312"/>
          <w:lang w:eastAsia="zh-CN"/>
        </w:rPr>
        <w:drawing>
          <wp:inline distT="0" distB="0" distL="114300" distR="114300">
            <wp:extent cx="3246120" cy="2573020"/>
            <wp:effectExtent l="4445" t="4445" r="6985"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600" w:lineRule="exact"/>
        <w:ind w:firstLine="640" w:firstLineChars="200"/>
        <w:jc w:val="left"/>
        <w:rPr>
          <w:rFonts w:ascii="仿宋_GB2312" w:eastAsia="仿宋_GB2312"/>
          <w:color w:val="000000"/>
          <w:sz w:val="32"/>
          <w:szCs w:val="32"/>
        </w:rPr>
      </w:pPr>
    </w:p>
    <w:p>
      <w:pPr>
        <w:pStyle w:val="18"/>
        <w:numPr>
          <w:ilvl w:val="0"/>
          <w:numId w:val="1"/>
        </w:numPr>
        <w:spacing w:line="600" w:lineRule="exact"/>
        <w:ind w:firstLineChars="0"/>
        <w:outlineLvl w:val="1"/>
        <w:rPr>
          <w:rStyle w:val="17"/>
          <w:rFonts w:ascii="黑体" w:hAnsi="黑体" w:eastAsia="黑体"/>
          <w:b w:val="0"/>
        </w:rPr>
      </w:pPr>
      <w:bookmarkStart w:id="11" w:name="_Toc24241"/>
      <w:bookmarkStart w:id="12" w:name="_Toc15396604"/>
      <w:bookmarkStart w:id="13" w:name="_Toc15377206"/>
      <w:r>
        <w:rPr>
          <w:rFonts w:hint="eastAsia" w:ascii="黑体" w:hAnsi="黑体" w:eastAsia="黑体"/>
          <w:color w:val="000000"/>
          <w:sz w:val="32"/>
          <w:szCs w:val="32"/>
        </w:rPr>
        <w:t>收</w:t>
      </w:r>
      <w:r>
        <w:rPr>
          <w:rStyle w:val="17"/>
          <w:rFonts w:hint="eastAsia" w:ascii="黑体" w:hAnsi="黑体" w:eastAsia="黑体"/>
          <w:b w:val="0"/>
        </w:rPr>
        <w:t>入决算情况说明</w:t>
      </w:r>
      <w:bookmarkEnd w:id="11"/>
      <w:bookmarkEnd w:id="12"/>
      <w:bookmarkEnd w:id="13"/>
    </w:p>
    <w:p>
      <w:pPr>
        <w:spacing w:line="600" w:lineRule="exact"/>
        <w:ind w:firstLine="640" w:firstLineChars="200"/>
        <w:outlineLvl w:val="9"/>
        <w:rPr>
          <w:rFonts w:hint="eastAsia"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年本年收入合计</w:t>
      </w:r>
      <w:r>
        <w:rPr>
          <w:rFonts w:hint="eastAsia" w:ascii="仿宋" w:hAnsi="仿宋" w:eastAsia="仿宋"/>
          <w:color w:val="000000"/>
          <w:szCs w:val="32"/>
          <w:lang w:val="en-US" w:eastAsia="zh-CN"/>
        </w:rPr>
        <w:t>1478.65</w:t>
      </w:r>
      <w:r>
        <w:rPr>
          <w:rFonts w:hint="eastAsia" w:ascii="仿宋" w:hAnsi="仿宋" w:eastAsia="仿宋"/>
          <w:color w:val="000000"/>
          <w:sz w:val="32"/>
          <w:szCs w:val="32"/>
        </w:rPr>
        <w:t>万元，其中：一般公共预算财政拨款收入</w:t>
      </w:r>
      <w:r>
        <w:rPr>
          <w:rFonts w:hint="eastAsia" w:ascii="仿宋" w:hAnsi="仿宋" w:eastAsia="仿宋"/>
          <w:color w:val="000000"/>
          <w:szCs w:val="32"/>
          <w:lang w:val="en-US" w:eastAsia="zh-CN"/>
        </w:rPr>
        <w:t>1420.65</w:t>
      </w:r>
      <w:r>
        <w:rPr>
          <w:rFonts w:hint="eastAsia" w:ascii="仿宋" w:hAnsi="仿宋" w:eastAsia="仿宋"/>
          <w:color w:val="000000"/>
          <w:sz w:val="32"/>
          <w:szCs w:val="32"/>
        </w:rPr>
        <w:t>万元，占</w:t>
      </w:r>
      <w:r>
        <w:rPr>
          <w:rFonts w:hint="eastAsia" w:ascii="仿宋" w:hAnsi="仿宋" w:eastAsia="仿宋"/>
          <w:color w:val="000000"/>
          <w:szCs w:val="32"/>
          <w:lang w:val="en-US" w:eastAsia="zh-CN"/>
        </w:rPr>
        <w:t>96.08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Cs w:val="32"/>
        </w:rPr>
        <w:t>年初财政拨款结转和结余</w:t>
      </w:r>
      <w:r>
        <w:rPr>
          <w:rFonts w:hint="eastAsia" w:ascii="仿宋" w:hAnsi="仿宋" w:eastAsia="仿宋"/>
          <w:color w:val="000000"/>
          <w:szCs w:val="32"/>
          <w:lang w:val="en-US" w:eastAsia="zh-CN"/>
        </w:rPr>
        <w:t>55</w:t>
      </w:r>
      <w:r>
        <w:rPr>
          <w:rFonts w:hint="eastAsia" w:ascii="仿宋" w:hAnsi="仿宋" w:eastAsia="仿宋"/>
          <w:color w:val="000000"/>
          <w:szCs w:val="32"/>
        </w:rPr>
        <w:t>万元，占</w:t>
      </w:r>
      <w:bookmarkStart w:id="84" w:name="_GoBack"/>
      <w:bookmarkEnd w:id="84"/>
      <w:r>
        <w:rPr>
          <w:rFonts w:hint="eastAsia" w:ascii="仿宋" w:hAnsi="仿宋" w:eastAsia="仿宋"/>
          <w:color w:val="000000"/>
          <w:szCs w:val="32"/>
          <w:lang w:val="en-US" w:eastAsia="zh-CN"/>
        </w:rPr>
        <w:t>3.72</w:t>
      </w:r>
      <w:r>
        <w:rPr>
          <w:rFonts w:hint="eastAsia" w:ascii="仿宋" w:hAnsi="仿宋" w:eastAsia="仿宋"/>
          <w:color w:val="000000"/>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5"/>
        <w:ind w:left="0" w:leftChars="0" w:firstLine="0" w:firstLineChars="0"/>
        <w:rPr>
          <w:rFonts w:ascii="仿宋_GB2312" w:eastAsia="仿宋_GB2312"/>
          <w:color w:val="FF0000"/>
          <w:sz w:val="32"/>
          <w:szCs w:val="32"/>
        </w:rPr>
      </w:pPr>
      <w:r>
        <w:rPr>
          <w:rFonts w:ascii="仿宋" w:hAnsi="仿宋" w:eastAsia="仿宋"/>
          <w:color w:val="000000"/>
          <w:szCs w:val="32"/>
        </w:rPr>
        <w:drawing>
          <wp:anchor distT="0" distB="0" distL="114300" distR="114300" simplePos="0" relativeHeight="251660288" behindDoc="0" locked="0" layoutInCell="1" allowOverlap="1">
            <wp:simplePos x="0" y="0"/>
            <wp:positionH relativeFrom="column">
              <wp:posOffset>514985</wp:posOffset>
            </wp:positionH>
            <wp:positionV relativeFrom="paragraph">
              <wp:posOffset>-151765</wp:posOffset>
            </wp:positionV>
            <wp:extent cx="3380105" cy="2030730"/>
            <wp:effectExtent l="0" t="0" r="10795" b="762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80105" cy="2030730"/>
                    </a:xfrm>
                    <a:prstGeom prst="rect">
                      <a:avLst/>
                    </a:prstGeom>
                    <a:noFill/>
                    <a:ln>
                      <a:noFill/>
                    </a:ln>
                  </pic:spPr>
                </pic:pic>
              </a:graphicData>
            </a:graphic>
          </wp:anchor>
        </w:drawing>
      </w:r>
    </w:p>
    <w:p>
      <w:pPr>
        <w:pStyle w:val="18"/>
        <w:numPr>
          <w:ilvl w:val="0"/>
          <w:numId w:val="1"/>
        </w:numPr>
        <w:spacing w:line="600" w:lineRule="exact"/>
        <w:ind w:firstLineChars="0"/>
        <w:outlineLvl w:val="1"/>
        <w:rPr>
          <w:rStyle w:val="17"/>
          <w:rFonts w:ascii="黑体" w:hAnsi="黑体" w:eastAsia="黑体"/>
          <w:b w:val="0"/>
        </w:rPr>
      </w:pPr>
      <w:bookmarkStart w:id="14" w:name="_Toc6526"/>
      <w:bookmarkStart w:id="15" w:name="_Toc15396605"/>
      <w:bookmarkStart w:id="16" w:name="_Toc15377207"/>
      <w:r>
        <w:rPr>
          <w:rFonts w:hint="eastAsia" w:ascii="黑体" w:hAnsi="黑体" w:eastAsia="黑体"/>
          <w:color w:val="000000"/>
          <w:sz w:val="32"/>
          <w:szCs w:val="32"/>
        </w:rPr>
        <w:t>支</w:t>
      </w:r>
      <w:r>
        <w:rPr>
          <w:rStyle w:val="17"/>
          <w:rFonts w:hint="eastAsia" w:ascii="黑体" w:hAnsi="黑体" w:eastAsia="黑体"/>
          <w:b w:val="0"/>
        </w:rPr>
        <w:t>出决算情况说明</w:t>
      </w:r>
      <w:bookmarkEnd w:id="14"/>
      <w:bookmarkEnd w:id="15"/>
      <w:bookmarkEnd w:id="16"/>
    </w:p>
    <w:p>
      <w:pPr>
        <w:spacing w:line="600" w:lineRule="exact"/>
        <w:ind w:firstLine="640"/>
        <w:rPr>
          <w:rFonts w:hint="eastAsia" w:ascii="仿宋" w:hAnsi="仿宋" w:eastAsia="仿宋"/>
          <w:color w:val="000000"/>
          <w:szCs w:val="32"/>
        </w:rPr>
      </w:pPr>
      <w:r>
        <w:rPr>
          <w:rFonts w:hint="eastAsia" w:ascii="仿宋" w:hAnsi="仿宋" w:eastAsia="仿宋"/>
          <w:color w:val="000000"/>
          <w:szCs w:val="32"/>
          <w:lang w:eastAsia="zh-CN"/>
        </w:rPr>
        <w:t>2021</w:t>
      </w:r>
      <w:r>
        <w:rPr>
          <w:rFonts w:hint="eastAsia" w:ascii="仿宋" w:hAnsi="仿宋" w:eastAsia="仿宋"/>
          <w:color w:val="000000"/>
          <w:szCs w:val="32"/>
        </w:rPr>
        <w:t>年本年支出合计</w:t>
      </w:r>
      <w:r>
        <w:rPr>
          <w:rFonts w:hint="eastAsia" w:ascii="仿宋" w:hAnsi="仿宋" w:eastAsia="仿宋"/>
          <w:color w:val="000000"/>
          <w:szCs w:val="32"/>
          <w:lang w:val="en-US" w:eastAsia="zh-CN"/>
        </w:rPr>
        <w:t>1478.65</w:t>
      </w:r>
      <w:r>
        <w:rPr>
          <w:rFonts w:hint="eastAsia" w:ascii="仿宋" w:hAnsi="仿宋" w:eastAsia="仿宋"/>
          <w:color w:val="000000"/>
          <w:szCs w:val="32"/>
        </w:rPr>
        <w:t>万元，其中：</w:t>
      </w:r>
      <w:r>
        <w:rPr>
          <w:rFonts w:hint="eastAsia" w:ascii="仿宋_GB2312" w:hAnsi="仿宋"/>
          <w:color w:val="000000"/>
          <w:szCs w:val="32"/>
        </w:rPr>
        <w:t>基本支出</w:t>
      </w:r>
      <w:r>
        <w:rPr>
          <w:rFonts w:hint="eastAsia" w:ascii="仿宋_GB2312" w:hAnsi="仿宋"/>
          <w:color w:val="000000"/>
          <w:szCs w:val="32"/>
          <w:lang w:val="en-US" w:eastAsia="zh-CN"/>
        </w:rPr>
        <w:t>797.2</w:t>
      </w:r>
      <w:r>
        <w:rPr>
          <w:rFonts w:hint="eastAsia" w:ascii="仿宋_GB2312" w:hAnsi="仿宋"/>
          <w:color w:val="000000"/>
          <w:szCs w:val="32"/>
        </w:rPr>
        <w:t>万元，占</w:t>
      </w:r>
      <w:r>
        <w:rPr>
          <w:rFonts w:hint="eastAsia" w:ascii="仿宋_GB2312" w:hAnsi="仿宋"/>
          <w:color w:val="000000"/>
          <w:szCs w:val="32"/>
          <w:lang w:val="en-US" w:eastAsia="zh-CN"/>
        </w:rPr>
        <w:t>53.91</w:t>
      </w:r>
      <w:r>
        <w:rPr>
          <w:rFonts w:ascii="仿宋_GB2312" w:hAnsi="仿宋"/>
          <w:color w:val="000000"/>
          <w:szCs w:val="32"/>
        </w:rPr>
        <w:t>%</w:t>
      </w:r>
      <w:r>
        <w:rPr>
          <w:rFonts w:hint="eastAsia" w:ascii="仿宋_GB2312" w:hAnsi="仿宋"/>
          <w:color w:val="000000"/>
          <w:szCs w:val="32"/>
        </w:rPr>
        <w:t>；项目支出</w:t>
      </w:r>
      <w:r>
        <w:rPr>
          <w:rFonts w:hint="eastAsia" w:ascii="仿宋_GB2312" w:hAnsi="仿宋"/>
          <w:color w:val="000000"/>
          <w:szCs w:val="32"/>
          <w:lang w:val="en-US" w:eastAsia="zh-CN"/>
        </w:rPr>
        <w:t>681.45</w:t>
      </w:r>
      <w:r>
        <w:rPr>
          <w:rFonts w:hint="eastAsia" w:ascii="仿宋_GB2312" w:hAnsi="仿宋"/>
          <w:color w:val="000000"/>
          <w:szCs w:val="32"/>
        </w:rPr>
        <w:t>万元，占</w:t>
      </w:r>
      <w:r>
        <w:rPr>
          <w:rFonts w:hint="eastAsia" w:ascii="仿宋_GB2312" w:hAnsi="仿宋"/>
          <w:color w:val="000000"/>
          <w:szCs w:val="32"/>
          <w:lang w:val="en-US" w:eastAsia="zh-CN"/>
        </w:rPr>
        <w:t>46.09</w:t>
      </w:r>
      <w:r>
        <w:rPr>
          <w:rFonts w:ascii="仿宋_GB2312" w:hAnsi="仿宋"/>
          <w:color w:val="000000"/>
          <w:szCs w:val="32"/>
        </w:rPr>
        <w:t>%</w:t>
      </w:r>
      <w:r>
        <w:rPr>
          <w:rFonts w:hint="eastAsia" w:ascii="仿宋" w:hAnsi="仿宋" w:eastAsia="仿宋"/>
          <w:color w:val="000000"/>
          <w:szCs w:val="32"/>
        </w:rPr>
        <w:t>；年末结转和结余</w:t>
      </w:r>
      <w:r>
        <w:rPr>
          <w:rFonts w:hint="eastAsia" w:ascii="仿宋_GB2312" w:hAnsi="仿宋" w:eastAsia="仿宋"/>
          <w:color w:val="000000"/>
          <w:szCs w:val="32"/>
          <w:lang w:val="en-US" w:eastAsia="zh-CN"/>
        </w:rPr>
        <w:t>0</w:t>
      </w:r>
      <w:r>
        <w:rPr>
          <w:rFonts w:hint="eastAsia" w:ascii="仿宋" w:hAnsi="仿宋" w:eastAsia="仿宋"/>
          <w:color w:val="000000"/>
          <w:szCs w:val="32"/>
        </w:rPr>
        <w:t>万元，占</w:t>
      </w:r>
      <w:r>
        <w:rPr>
          <w:rFonts w:hint="eastAsia" w:ascii="仿宋_GB2312" w:hAnsi="仿宋" w:eastAsia="仿宋"/>
          <w:color w:val="000000"/>
          <w:szCs w:val="32"/>
          <w:lang w:val="en-US" w:eastAsia="zh-CN"/>
        </w:rPr>
        <w:t>0</w:t>
      </w:r>
      <w:r>
        <w:rPr>
          <w:rFonts w:hint="eastAsia" w:ascii="仿宋_GB2312" w:hAnsi="仿宋"/>
          <w:color w:val="000000"/>
          <w:szCs w:val="32"/>
        </w:rPr>
        <w:t>%</w:t>
      </w:r>
      <w:r>
        <w:rPr>
          <w:rFonts w:hint="eastAsia" w:ascii="仿宋" w:hAnsi="仿宋" w:eastAsia="仿宋"/>
          <w:color w:val="000000"/>
          <w:szCs w:val="32"/>
        </w:rPr>
        <w:t>；上缴上级支出0万元，占0.00</w:t>
      </w:r>
      <w:r>
        <w:rPr>
          <w:rFonts w:ascii="仿宋" w:hAnsi="仿宋" w:eastAsia="仿宋"/>
          <w:color w:val="000000"/>
          <w:szCs w:val="32"/>
        </w:rPr>
        <w:t>%</w:t>
      </w:r>
      <w:r>
        <w:rPr>
          <w:rFonts w:hint="eastAsia" w:ascii="仿宋" w:hAnsi="仿宋" w:eastAsia="仿宋"/>
          <w:color w:val="000000"/>
          <w:szCs w:val="32"/>
        </w:rPr>
        <w:t>；经营支出0万元，占0.00</w:t>
      </w:r>
      <w:r>
        <w:rPr>
          <w:rFonts w:ascii="仿宋" w:hAnsi="仿宋" w:eastAsia="仿宋"/>
          <w:color w:val="000000"/>
          <w:szCs w:val="32"/>
        </w:rPr>
        <w:t>%</w:t>
      </w:r>
      <w:r>
        <w:rPr>
          <w:rFonts w:hint="eastAsia" w:ascii="仿宋" w:hAnsi="仿宋" w:eastAsia="仿宋"/>
          <w:color w:val="000000"/>
          <w:szCs w:val="32"/>
        </w:rPr>
        <w:t>；对附属单位补助支出0万元，占0.00</w:t>
      </w:r>
      <w:r>
        <w:rPr>
          <w:rFonts w:ascii="仿宋" w:hAnsi="仿宋" w:eastAsia="仿宋"/>
          <w:color w:val="000000"/>
          <w:szCs w:val="32"/>
        </w:rPr>
        <w:t>%</w:t>
      </w:r>
      <w:r>
        <w:rPr>
          <w:rFonts w:hint="eastAsia" w:ascii="仿宋" w:hAnsi="仿宋" w:eastAsia="仿宋"/>
          <w:color w:val="000000"/>
          <w:szCs w:val="32"/>
        </w:rPr>
        <w:t>。</w:t>
      </w:r>
    </w:p>
    <w:p>
      <w:pPr>
        <w:spacing w:line="600" w:lineRule="exact"/>
        <w:ind w:firstLine="640" w:firstLineChars="200"/>
        <w:rPr>
          <w:rFonts w:ascii="仿宋_GB2312" w:eastAsia="仿宋_GB2312"/>
          <w:color w:val="FF0000"/>
          <w:sz w:val="32"/>
          <w:szCs w:val="32"/>
        </w:rPr>
      </w:pPr>
      <w:r>
        <w:rPr>
          <w:rFonts w:ascii="仿宋_GB2312" w:hAnsi="仿宋"/>
          <w:color w:val="000000"/>
          <w:szCs w:val="32"/>
        </w:rPr>
        <w:drawing>
          <wp:anchor distT="0" distB="0" distL="114300" distR="114300" simplePos="0" relativeHeight="251661312" behindDoc="0" locked="0" layoutInCell="1" allowOverlap="1">
            <wp:simplePos x="0" y="0"/>
            <wp:positionH relativeFrom="column">
              <wp:posOffset>796290</wp:posOffset>
            </wp:positionH>
            <wp:positionV relativeFrom="paragraph">
              <wp:posOffset>445770</wp:posOffset>
            </wp:positionV>
            <wp:extent cx="3399155" cy="2044065"/>
            <wp:effectExtent l="0" t="0" r="10795" b="13335"/>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99155" cy="2044065"/>
                    </a:xfrm>
                    <a:prstGeom prst="rect">
                      <a:avLst/>
                    </a:prstGeom>
                    <a:noFill/>
                    <a:ln>
                      <a:noFill/>
                    </a:ln>
                  </pic:spPr>
                </pic:pic>
              </a:graphicData>
            </a:graphic>
          </wp:anchor>
        </w:drawing>
      </w:r>
    </w:p>
    <w:p>
      <w:pPr>
        <w:numPr>
          <w:ilvl w:val="0"/>
          <w:numId w:val="1"/>
        </w:numPr>
        <w:spacing w:line="600" w:lineRule="exact"/>
        <w:ind w:left="1360" w:leftChars="0" w:hanging="720" w:firstLineChars="0"/>
        <w:outlineLvl w:val="1"/>
        <w:rPr>
          <w:rStyle w:val="17"/>
          <w:rFonts w:hint="eastAsia" w:ascii="黑体" w:hAnsi="黑体" w:eastAsia="黑体"/>
          <w:b w:val="0"/>
        </w:rPr>
      </w:pPr>
      <w:bookmarkStart w:id="17" w:name="_Toc15377208"/>
      <w:bookmarkStart w:id="18" w:name="_Toc15396606"/>
      <w:bookmarkStart w:id="19" w:name="_Toc14334"/>
      <w:r>
        <w:rPr>
          <w:rFonts w:hint="eastAsia" w:ascii="黑体" w:hAnsi="黑体" w:eastAsia="黑体"/>
          <w:color w:val="000000"/>
          <w:sz w:val="32"/>
          <w:szCs w:val="32"/>
        </w:rPr>
        <w:t>财</w:t>
      </w:r>
      <w:r>
        <w:rPr>
          <w:rStyle w:val="17"/>
          <w:rFonts w:hint="eastAsia" w:ascii="黑体" w:hAnsi="黑体" w:eastAsia="黑体"/>
          <w:b w:val="0"/>
        </w:rPr>
        <w:t>政拨款收入支出决算总体情况说明</w:t>
      </w:r>
      <w:bookmarkEnd w:id="17"/>
      <w:bookmarkEnd w:id="18"/>
      <w:bookmarkEnd w:id="19"/>
    </w:p>
    <w:p>
      <w:pPr>
        <w:spacing w:line="560" w:lineRule="exact"/>
        <w:ind w:firstLine="640" w:firstLineChars="200"/>
        <w:rPr>
          <w:rFonts w:hint="eastAsia"/>
        </w:rPr>
      </w:pPr>
      <w:r>
        <w:rPr>
          <w:rFonts w:hint="eastAsia" w:ascii="仿宋" w:hAnsi="仿宋" w:eastAsia="仿宋"/>
          <w:color w:val="000000"/>
          <w:szCs w:val="32"/>
          <w:lang w:eastAsia="zh-CN"/>
        </w:rPr>
        <w:t>2021</w:t>
      </w:r>
      <w:r>
        <w:rPr>
          <w:rFonts w:hint="eastAsia" w:ascii="仿宋" w:hAnsi="仿宋" w:eastAsia="仿宋"/>
          <w:color w:val="000000"/>
          <w:szCs w:val="32"/>
        </w:rPr>
        <w:t>年财政拨款收、</w:t>
      </w:r>
      <w:r>
        <w:rPr>
          <w:rFonts w:hint="eastAsia" w:ascii="仿宋" w:hAnsi="仿宋" w:eastAsia="仿宋"/>
          <w:szCs w:val="32"/>
        </w:rPr>
        <w:t>支</w:t>
      </w:r>
      <w:r>
        <w:rPr>
          <w:rFonts w:hint="eastAsia" w:ascii="仿宋" w:hAnsi="仿宋" w:eastAsia="仿宋"/>
          <w:szCs w:val="32"/>
          <w:lang w:eastAsia="zh-CN"/>
        </w:rPr>
        <w:t>分别</w:t>
      </w:r>
      <w:r>
        <w:rPr>
          <w:rFonts w:hint="eastAsia" w:ascii="仿宋" w:hAnsi="仿宋" w:eastAsia="仿宋"/>
          <w:szCs w:val="32"/>
        </w:rPr>
        <w:t>总计</w:t>
      </w:r>
      <w:r>
        <w:rPr>
          <w:rFonts w:hint="eastAsia" w:ascii="仿宋" w:hAnsi="仿宋" w:eastAsia="仿宋"/>
          <w:color w:val="000000"/>
          <w:szCs w:val="32"/>
          <w:lang w:val="en-US" w:eastAsia="zh-CN"/>
        </w:rPr>
        <w:t>1478.65</w:t>
      </w:r>
      <w:r>
        <w:rPr>
          <w:rFonts w:hint="eastAsia" w:ascii="仿宋" w:hAnsi="仿宋" w:eastAsia="仿宋"/>
          <w:szCs w:val="32"/>
        </w:rPr>
        <w:t>万元。</w:t>
      </w:r>
      <w:r>
        <w:rPr>
          <w:rFonts w:hint="eastAsia" w:ascii="仿宋" w:hAnsi="仿宋" w:eastAsia="仿宋"/>
          <w:color w:val="000000"/>
          <w:szCs w:val="32"/>
        </w:rPr>
        <w:t>与</w:t>
      </w:r>
      <w:r>
        <w:rPr>
          <w:rFonts w:hint="eastAsia" w:ascii="仿宋" w:hAnsi="仿宋" w:eastAsia="仿宋"/>
          <w:color w:val="000000"/>
          <w:szCs w:val="32"/>
          <w:lang w:eastAsia="zh-CN"/>
        </w:rPr>
        <w:t>2020</w:t>
      </w:r>
      <w:r>
        <w:rPr>
          <w:rFonts w:hint="eastAsia" w:ascii="仿宋" w:hAnsi="仿宋" w:eastAsia="仿宋"/>
          <w:color w:val="000000"/>
          <w:szCs w:val="32"/>
        </w:rPr>
        <w:t>年相比，收、支总计各</w:t>
      </w:r>
      <w:r>
        <w:rPr>
          <w:rFonts w:hint="eastAsia" w:ascii="仿宋" w:hAnsi="仿宋" w:eastAsia="仿宋"/>
          <w:szCs w:val="32"/>
        </w:rPr>
        <w:t>增加</w:t>
      </w:r>
      <w:r>
        <w:rPr>
          <w:rFonts w:hint="eastAsia" w:ascii="仿宋" w:hAnsi="仿宋" w:eastAsia="仿宋"/>
          <w:szCs w:val="32"/>
          <w:lang w:val="en-US" w:eastAsia="zh-CN"/>
        </w:rPr>
        <w:t>59.09</w:t>
      </w:r>
      <w:r>
        <w:rPr>
          <w:rFonts w:hint="eastAsia" w:ascii="仿宋" w:hAnsi="仿宋" w:eastAsia="仿宋"/>
          <w:color w:val="000000"/>
          <w:szCs w:val="32"/>
        </w:rPr>
        <w:t>万元，增长</w:t>
      </w:r>
      <w:r>
        <w:rPr>
          <w:rFonts w:hint="eastAsia" w:ascii="仿宋" w:hAnsi="仿宋" w:eastAsia="仿宋"/>
          <w:color w:val="000000"/>
          <w:szCs w:val="32"/>
          <w:lang w:val="en-US" w:eastAsia="zh-CN"/>
        </w:rPr>
        <w:t>4</w:t>
      </w:r>
      <w:r>
        <w:rPr>
          <w:rFonts w:hint="eastAsia" w:ascii="仿宋" w:hAnsi="仿宋" w:eastAsia="仿宋"/>
          <w:color w:val="000000"/>
          <w:szCs w:val="32"/>
        </w:rPr>
        <w:t>%。主要变动原因是</w:t>
      </w:r>
      <w:r>
        <w:rPr>
          <w:rFonts w:hint="eastAsia" w:ascii="仿宋" w:hAnsi="仿宋" w:eastAsia="仿宋"/>
          <w:color w:val="000000"/>
          <w:szCs w:val="32"/>
          <w:lang w:eastAsia="zh-CN"/>
        </w:rPr>
        <w:t>当年有</w:t>
      </w:r>
      <w:r>
        <w:rPr>
          <w:rFonts w:hint="eastAsia" w:ascii="仿宋" w:hAnsi="仿宋" w:eastAsia="仿宋"/>
          <w:color w:val="000000" w:themeColor="text1"/>
          <w:szCs w:val="32"/>
          <w:lang w:eastAsia="zh-CN"/>
          <w14:textFill>
            <w14:solidFill>
              <w14:schemeClr w14:val="tx1"/>
            </w14:solidFill>
          </w14:textFill>
        </w:rPr>
        <w:t>政法队伍</w:t>
      </w:r>
      <w:r>
        <w:rPr>
          <w:rFonts w:hint="eastAsia" w:ascii="仿宋_GB2312" w:hAnsi="仿宋" w:eastAsia="仿宋"/>
          <w:szCs w:val="32"/>
          <w:lang w:eastAsia="zh-CN"/>
        </w:rPr>
        <w:t>教育整顿新增了预算资金</w:t>
      </w:r>
      <w:r>
        <w:rPr>
          <w:rFonts w:hint="eastAsia" w:ascii="仿宋_GB2312" w:hAnsi="仿宋"/>
          <w:szCs w:val="32"/>
        </w:rPr>
        <w:t>。</w:t>
      </w:r>
    </w:p>
    <w:p>
      <w:pPr>
        <w:pStyle w:val="5"/>
        <w:ind w:left="0" w:leftChars="0" w:firstLine="0" w:firstLineChars="0"/>
        <w:rPr>
          <w:rFonts w:hint="eastAsia"/>
        </w:rPr>
      </w:pPr>
      <w:r>
        <w:rPr>
          <w:rFonts w:hint="eastAsia"/>
          <w:lang w:val="en-US" w:eastAsia="zh-CN"/>
        </w:rPr>
        <w:t xml:space="preserve">         </w:t>
      </w:r>
      <w:r>
        <w:rPr>
          <w:rFonts w:hint="eastAsia" w:eastAsia="仿宋_GB2312"/>
          <w:lang w:eastAsia="zh-CN"/>
        </w:rPr>
        <w:drawing>
          <wp:inline distT="0" distB="0" distL="114300" distR="114300">
            <wp:extent cx="3295650" cy="2548890"/>
            <wp:effectExtent l="4445" t="4445" r="14605" b="184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numPr>
          <w:ilvl w:val="0"/>
          <w:numId w:val="0"/>
        </w:numPr>
        <w:ind w:left="640" w:leftChars="0"/>
      </w:pPr>
    </w:p>
    <w:p>
      <w:pPr>
        <w:spacing w:line="600" w:lineRule="exact"/>
        <w:ind w:firstLine="640" w:firstLineChars="200"/>
        <w:outlineLvl w:val="1"/>
        <w:rPr>
          <w:rStyle w:val="17"/>
          <w:rFonts w:ascii="黑体" w:hAnsi="黑体" w:eastAsia="黑体"/>
          <w:b w:val="0"/>
        </w:rPr>
      </w:pPr>
      <w:bookmarkStart w:id="20" w:name="_Toc15377209"/>
      <w:bookmarkStart w:id="21" w:name="_Toc16755"/>
      <w:bookmarkStart w:id="22"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20"/>
      <w:bookmarkEnd w:id="21"/>
      <w:bookmarkEnd w:id="22"/>
    </w:p>
    <w:p>
      <w:pPr>
        <w:spacing w:line="600" w:lineRule="exact"/>
        <w:ind w:firstLine="643" w:firstLineChars="200"/>
        <w:outlineLvl w:val="2"/>
        <w:rPr>
          <w:rFonts w:ascii="仿宋" w:hAnsi="仿宋" w:eastAsia="仿宋"/>
          <w:b/>
          <w:color w:val="000000"/>
          <w:sz w:val="32"/>
          <w:szCs w:val="32"/>
        </w:rPr>
      </w:pPr>
      <w:bookmarkStart w:id="23" w:name="_Toc15377210"/>
      <w:r>
        <w:rPr>
          <w:rFonts w:hint="eastAsia" w:ascii="仿宋" w:hAnsi="仿宋" w:eastAsia="仿宋"/>
          <w:b/>
          <w:color w:val="000000"/>
          <w:sz w:val="32"/>
          <w:szCs w:val="32"/>
        </w:rPr>
        <w:t>（一）一般公共预算财政拨款支出决算总体情况</w:t>
      </w:r>
      <w:bookmarkEnd w:id="23"/>
    </w:p>
    <w:p>
      <w:pPr>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Cs w:val="32"/>
          <w:lang w:eastAsia="zh-CN"/>
        </w:rPr>
        <w:t>2021</w:t>
      </w:r>
      <w:r>
        <w:rPr>
          <w:rFonts w:hint="eastAsia" w:ascii="仿宋" w:hAnsi="仿宋" w:eastAsia="仿宋"/>
          <w:color w:val="000000"/>
          <w:szCs w:val="32"/>
        </w:rPr>
        <w:t>年一般公共预算财政拨款支出</w:t>
      </w:r>
      <w:r>
        <w:rPr>
          <w:rFonts w:hint="eastAsia" w:ascii="仿宋" w:hAnsi="仿宋" w:eastAsia="仿宋"/>
          <w:color w:val="000000"/>
          <w:szCs w:val="32"/>
          <w:lang w:val="en-US" w:eastAsia="zh-CN"/>
        </w:rPr>
        <w:t>1478.65</w:t>
      </w:r>
      <w:r>
        <w:rPr>
          <w:rFonts w:hint="eastAsia" w:ascii="仿宋" w:hAnsi="仿宋" w:eastAsia="仿宋"/>
          <w:color w:val="000000"/>
          <w:szCs w:val="32"/>
        </w:rPr>
        <w:t>万元，占本年支出合计的100.00</w:t>
      </w:r>
      <w:r>
        <w:rPr>
          <w:rFonts w:ascii="仿宋" w:hAnsi="仿宋" w:eastAsia="仿宋"/>
          <w:color w:val="000000"/>
          <w:szCs w:val="32"/>
        </w:rPr>
        <w:t>%</w:t>
      </w:r>
      <w:r>
        <w:rPr>
          <w:rFonts w:hint="eastAsia" w:ascii="仿宋" w:hAnsi="仿宋" w:eastAsia="仿宋"/>
          <w:color w:val="000000"/>
          <w:szCs w:val="32"/>
        </w:rPr>
        <w:t>。与</w:t>
      </w:r>
      <w:r>
        <w:rPr>
          <w:rFonts w:hint="eastAsia" w:ascii="仿宋" w:hAnsi="仿宋" w:eastAsia="仿宋"/>
          <w:color w:val="000000"/>
          <w:szCs w:val="32"/>
          <w:lang w:eastAsia="zh-CN"/>
        </w:rPr>
        <w:t>2020</w:t>
      </w:r>
      <w:r>
        <w:rPr>
          <w:rFonts w:hint="eastAsia" w:ascii="仿宋" w:hAnsi="仿宋" w:eastAsia="仿宋"/>
          <w:color w:val="000000"/>
          <w:szCs w:val="32"/>
        </w:rPr>
        <w:t>年相比，一般公共预算财政拨款增加</w:t>
      </w:r>
      <w:r>
        <w:rPr>
          <w:rFonts w:hint="eastAsia" w:ascii="仿宋" w:hAnsi="仿宋" w:eastAsia="仿宋"/>
          <w:color w:val="000000"/>
          <w:szCs w:val="32"/>
          <w:lang w:val="en-US" w:eastAsia="zh-CN"/>
        </w:rPr>
        <w:t>59.09</w:t>
      </w:r>
      <w:r>
        <w:rPr>
          <w:rFonts w:hint="eastAsia" w:ascii="仿宋" w:hAnsi="仿宋" w:eastAsia="仿宋"/>
          <w:color w:val="000000"/>
          <w:szCs w:val="32"/>
        </w:rPr>
        <w:t>万元，增加</w:t>
      </w:r>
      <w:r>
        <w:rPr>
          <w:rFonts w:hint="eastAsia" w:ascii="仿宋" w:hAnsi="仿宋" w:eastAsia="仿宋"/>
          <w:color w:val="000000"/>
          <w:szCs w:val="32"/>
          <w:lang w:val="en-US" w:eastAsia="zh-CN"/>
        </w:rPr>
        <w:t>4</w:t>
      </w:r>
      <w:r>
        <w:rPr>
          <w:rFonts w:ascii="仿宋" w:hAnsi="仿宋" w:eastAsia="仿宋"/>
          <w:color w:val="000000"/>
          <w:szCs w:val="32"/>
        </w:rPr>
        <w:t>%</w:t>
      </w:r>
      <w:r>
        <w:rPr>
          <w:rFonts w:hint="eastAsia" w:ascii="仿宋" w:hAnsi="仿宋" w:eastAsia="仿宋"/>
          <w:color w:val="000000"/>
          <w:szCs w:val="32"/>
        </w:rPr>
        <w:t>。主要变动原因是</w:t>
      </w:r>
      <w:r>
        <w:rPr>
          <w:rFonts w:hint="eastAsia" w:ascii="仿宋" w:hAnsi="仿宋" w:eastAsia="仿宋"/>
          <w:color w:val="000000"/>
          <w:szCs w:val="32"/>
          <w:lang w:eastAsia="zh-CN"/>
        </w:rPr>
        <w:t>当年有</w:t>
      </w:r>
      <w:r>
        <w:rPr>
          <w:rFonts w:hint="eastAsia" w:ascii="仿宋" w:hAnsi="仿宋" w:eastAsia="仿宋"/>
          <w:color w:val="000000" w:themeColor="text1"/>
          <w:szCs w:val="32"/>
          <w:lang w:eastAsia="zh-CN"/>
          <w14:textFill>
            <w14:solidFill>
              <w14:schemeClr w14:val="tx1"/>
            </w14:solidFill>
          </w14:textFill>
        </w:rPr>
        <w:t>政法队伍</w:t>
      </w:r>
      <w:r>
        <w:rPr>
          <w:rFonts w:hint="eastAsia" w:ascii="仿宋_GB2312" w:hAnsi="仿宋" w:eastAsia="仿宋"/>
          <w:color w:val="000000" w:themeColor="text1"/>
          <w:szCs w:val="32"/>
          <w:lang w:eastAsia="zh-CN"/>
          <w14:textFill>
            <w14:solidFill>
              <w14:schemeClr w14:val="tx1"/>
            </w14:solidFill>
          </w14:textFill>
        </w:rPr>
        <w:t>教育整顿新增了预算资金</w:t>
      </w:r>
      <w:r>
        <w:rPr>
          <w:rFonts w:hint="eastAsia" w:ascii="仿宋" w:hAnsi="仿宋" w:eastAsia="仿宋"/>
          <w:color w:val="000000" w:themeColor="text1"/>
          <w:szCs w:val="32"/>
          <w14:textFill>
            <w14:solidFill>
              <w14:schemeClr w14:val="tx1"/>
            </w14:solidFill>
          </w14:textFill>
        </w:rPr>
        <w:t>。</w:t>
      </w:r>
    </w:p>
    <w:p>
      <w:pPr>
        <w:pStyle w:val="2"/>
        <w:rPr>
          <w:rFonts w:ascii="仿宋" w:hAnsi="仿宋" w:eastAsia="仿宋"/>
          <w:color w:val="000000"/>
          <w:sz w:val="32"/>
          <w:szCs w:val="32"/>
        </w:rPr>
      </w:pPr>
      <w:r>
        <w:rPr>
          <w:rFonts w:hint="eastAsia"/>
          <w:lang w:val="en-US" w:eastAsia="zh-CN"/>
        </w:rPr>
        <w:t xml:space="preserve">               </w:t>
      </w:r>
      <w:r>
        <w:rPr>
          <w:rFonts w:hint="eastAsia" w:eastAsia="仿宋_GB2312"/>
          <w:lang w:eastAsia="zh-CN"/>
        </w:rPr>
        <w:drawing>
          <wp:inline distT="0" distB="0" distL="114300" distR="114300">
            <wp:extent cx="2891155" cy="2599690"/>
            <wp:effectExtent l="4445" t="4445" r="19050" b="571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3" w:firstLineChars="200"/>
        <w:outlineLvl w:val="2"/>
        <w:rPr>
          <w:rFonts w:ascii="仿宋" w:hAnsi="仿宋" w:eastAsia="仿宋"/>
          <w:b/>
          <w:color w:val="000000"/>
          <w:sz w:val="32"/>
          <w:szCs w:val="32"/>
        </w:rPr>
      </w:pPr>
      <w:bookmarkStart w:id="24" w:name="_Toc15377211"/>
      <w:r>
        <w:rPr>
          <w:rFonts w:hint="eastAsia" w:ascii="仿宋" w:hAnsi="仿宋" w:eastAsia="仿宋"/>
          <w:b/>
          <w:color w:val="000000"/>
          <w:sz w:val="32"/>
          <w:szCs w:val="32"/>
        </w:rPr>
        <w:t>（二）一般公共预算财政拨款支出决算结构情况</w:t>
      </w:r>
      <w:bookmarkEnd w:id="24"/>
    </w:p>
    <w:p>
      <w:pPr>
        <w:spacing w:line="560" w:lineRule="exact"/>
        <w:ind w:firstLine="640"/>
        <w:rPr>
          <w:rFonts w:ascii="仿宋" w:hAnsi="仿宋" w:eastAsia="仿宋"/>
          <w:color w:val="000000"/>
          <w:szCs w:val="32"/>
        </w:rPr>
      </w:pPr>
      <w:r>
        <w:rPr>
          <w:rFonts w:ascii="仿宋" w:hAnsi="仿宋" w:eastAsia="仿宋"/>
          <w:color w:val="000000"/>
          <w:szCs w:val="32"/>
        </w:rPr>
        <w:drawing>
          <wp:anchor distT="0" distB="0" distL="114300" distR="114300" simplePos="0" relativeHeight="251662336" behindDoc="0" locked="0" layoutInCell="1" allowOverlap="1">
            <wp:simplePos x="0" y="0"/>
            <wp:positionH relativeFrom="column">
              <wp:posOffset>887095</wp:posOffset>
            </wp:positionH>
            <wp:positionV relativeFrom="paragraph">
              <wp:posOffset>1837055</wp:posOffset>
            </wp:positionV>
            <wp:extent cx="3664585" cy="2203450"/>
            <wp:effectExtent l="0" t="0" r="12065" b="635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664800" cy="2203200"/>
                    </a:xfrm>
                    <a:prstGeom prst="rect">
                      <a:avLst/>
                    </a:prstGeom>
                    <a:noFill/>
                    <a:ln>
                      <a:noFill/>
                    </a:ln>
                  </pic:spPr>
                </pic:pic>
              </a:graphicData>
            </a:graphic>
          </wp:anchor>
        </w:drawing>
      </w:r>
      <w:r>
        <w:rPr>
          <w:rFonts w:hint="eastAsia" w:ascii="仿宋" w:hAnsi="仿宋" w:eastAsia="仿宋"/>
          <w:color w:val="000000"/>
          <w:szCs w:val="32"/>
          <w:lang w:eastAsia="zh-CN"/>
        </w:rPr>
        <w:t>2021</w:t>
      </w:r>
      <w:r>
        <w:rPr>
          <w:rFonts w:hint="eastAsia" w:ascii="仿宋" w:hAnsi="仿宋" w:eastAsia="仿宋"/>
          <w:color w:val="000000"/>
          <w:szCs w:val="32"/>
        </w:rPr>
        <w:t>年一般公共预算财政拨款支出</w:t>
      </w:r>
      <w:r>
        <w:rPr>
          <w:rFonts w:hint="eastAsia" w:ascii="仿宋" w:hAnsi="仿宋" w:eastAsia="仿宋"/>
          <w:color w:val="000000"/>
          <w:szCs w:val="32"/>
          <w:lang w:val="en-US" w:eastAsia="zh-CN"/>
        </w:rPr>
        <w:t>1475.65</w:t>
      </w:r>
      <w:r>
        <w:rPr>
          <w:rFonts w:hint="eastAsia" w:ascii="仿宋" w:hAnsi="仿宋" w:eastAsia="仿宋"/>
          <w:color w:val="000000"/>
          <w:szCs w:val="32"/>
        </w:rPr>
        <w:t>万元，主要用于以下方面</w:t>
      </w:r>
      <w:r>
        <w:rPr>
          <w:rFonts w:ascii="仿宋" w:hAnsi="仿宋" w:eastAsia="仿宋"/>
          <w:color w:val="000000"/>
          <w:szCs w:val="32"/>
        </w:rPr>
        <w:t>:</w:t>
      </w:r>
      <w:r>
        <w:rPr>
          <w:rFonts w:hint="eastAsia" w:ascii="仿宋" w:hAnsi="仿宋" w:eastAsia="仿宋"/>
          <w:b/>
          <w:color w:val="000000"/>
          <w:szCs w:val="32"/>
        </w:rPr>
        <w:t>一般公共服务（类）</w:t>
      </w:r>
      <w:r>
        <w:rPr>
          <w:rFonts w:hint="eastAsia" w:ascii="仿宋" w:hAnsi="仿宋" w:eastAsia="仿宋"/>
          <w:color w:val="000000"/>
          <w:szCs w:val="32"/>
        </w:rPr>
        <w:t>支出</w:t>
      </w:r>
      <w:r>
        <w:rPr>
          <w:rFonts w:hint="eastAsia" w:ascii="仿宋" w:hAnsi="仿宋" w:eastAsia="仿宋"/>
          <w:color w:val="000000"/>
          <w:szCs w:val="32"/>
          <w:lang w:val="en-US" w:eastAsia="zh-CN"/>
        </w:rPr>
        <w:t>1264.68</w:t>
      </w:r>
      <w:r>
        <w:rPr>
          <w:rFonts w:hint="eastAsia" w:ascii="仿宋" w:hAnsi="仿宋" w:eastAsia="仿宋"/>
          <w:color w:val="000000"/>
          <w:szCs w:val="32"/>
        </w:rPr>
        <w:t>万元，</w:t>
      </w:r>
      <w:r>
        <w:rPr>
          <w:rFonts w:hint="eastAsia" w:ascii="仿宋" w:hAnsi="仿宋" w:eastAsia="仿宋"/>
          <w:color w:val="000000"/>
          <w:szCs w:val="32"/>
          <w:lang w:val="en-US" w:eastAsia="zh-CN"/>
        </w:rPr>
        <w:t>85.7</w:t>
      </w:r>
      <w:r>
        <w:rPr>
          <w:rFonts w:hint="eastAsia" w:ascii="仿宋" w:hAnsi="仿宋" w:eastAsia="仿宋"/>
          <w:color w:val="000000"/>
          <w:szCs w:val="32"/>
        </w:rPr>
        <w:t>占</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b/>
          <w:color w:val="000000"/>
          <w:szCs w:val="32"/>
        </w:rPr>
        <w:t>社会保障和就业（类）</w:t>
      </w:r>
      <w:r>
        <w:rPr>
          <w:rFonts w:hint="eastAsia" w:ascii="仿宋" w:hAnsi="仿宋" w:eastAsia="仿宋"/>
          <w:color w:val="000000"/>
          <w:szCs w:val="32"/>
        </w:rPr>
        <w:t>支出</w:t>
      </w:r>
      <w:r>
        <w:rPr>
          <w:rFonts w:hint="eastAsia" w:ascii="仿宋" w:hAnsi="仿宋" w:eastAsia="仿宋"/>
          <w:color w:val="000000"/>
          <w:szCs w:val="32"/>
          <w:lang w:val="en-US" w:eastAsia="zh-CN"/>
        </w:rPr>
        <w:t>111.91</w:t>
      </w:r>
      <w:r>
        <w:rPr>
          <w:rFonts w:hint="eastAsia" w:ascii="仿宋" w:hAnsi="仿宋" w:eastAsia="仿宋"/>
          <w:color w:val="000000"/>
          <w:szCs w:val="32"/>
        </w:rPr>
        <w:t>万元，</w:t>
      </w:r>
      <w:r>
        <w:rPr>
          <w:rFonts w:hint="eastAsia" w:ascii="仿宋" w:hAnsi="仿宋" w:eastAsia="仿宋"/>
          <w:color w:val="000000"/>
          <w:szCs w:val="32"/>
          <w:lang w:val="en-US" w:eastAsia="zh-CN"/>
        </w:rPr>
        <w:t>7.58</w:t>
      </w:r>
      <w:r>
        <w:rPr>
          <w:rFonts w:hint="eastAsia" w:ascii="仿宋" w:hAnsi="仿宋" w:eastAsia="仿宋"/>
          <w:color w:val="000000"/>
          <w:szCs w:val="32"/>
        </w:rPr>
        <w:t>占</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b/>
          <w:bCs/>
          <w:color w:val="000000"/>
          <w:szCs w:val="32"/>
        </w:rPr>
        <w:t>卫生健康支出</w:t>
      </w:r>
      <w:r>
        <w:rPr>
          <w:rFonts w:hint="eastAsia" w:ascii="仿宋" w:hAnsi="仿宋" w:eastAsia="仿宋"/>
          <w:b/>
          <w:bCs/>
          <w:color w:val="000000"/>
          <w:szCs w:val="32"/>
          <w:lang w:val="en-US" w:eastAsia="zh-CN"/>
        </w:rPr>
        <w:t>47.16</w:t>
      </w:r>
      <w:r>
        <w:rPr>
          <w:rFonts w:hint="eastAsia" w:ascii="仿宋" w:hAnsi="仿宋" w:eastAsia="仿宋"/>
          <w:color w:val="000000"/>
          <w:szCs w:val="32"/>
        </w:rPr>
        <w:t>万元，</w:t>
      </w:r>
      <w:r>
        <w:rPr>
          <w:rFonts w:hint="eastAsia" w:ascii="仿宋" w:hAnsi="仿宋" w:eastAsia="仿宋"/>
          <w:color w:val="000000"/>
          <w:szCs w:val="32"/>
          <w:lang w:val="en-US" w:eastAsia="zh-CN"/>
        </w:rPr>
        <w:t>3.2</w:t>
      </w:r>
      <w:r>
        <w:rPr>
          <w:rFonts w:hint="eastAsia" w:ascii="仿宋" w:hAnsi="仿宋" w:eastAsia="仿宋"/>
          <w:color w:val="000000"/>
          <w:szCs w:val="32"/>
        </w:rPr>
        <w:t>占</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color w:val="000000"/>
          <w:szCs w:val="32"/>
          <w:lang w:val="en-US" w:eastAsia="zh-CN"/>
        </w:rPr>
        <w:t>；</w:t>
      </w:r>
      <w:r>
        <w:rPr>
          <w:rFonts w:hint="eastAsia" w:ascii="仿宋" w:hAnsi="仿宋" w:eastAsia="仿宋"/>
          <w:color w:val="000000"/>
          <w:szCs w:val="32"/>
        </w:rPr>
        <w:t>住房保障支出</w:t>
      </w:r>
      <w:r>
        <w:rPr>
          <w:rFonts w:hint="eastAsia" w:ascii="仿宋" w:hAnsi="仿宋" w:eastAsia="仿宋"/>
          <w:color w:val="000000"/>
          <w:szCs w:val="32"/>
          <w:lang w:val="en-US" w:eastAsia="zh-CN"/>
        </w:rPr>
        <w:t>51.89</w:t>
      </w:r>
      <w:r>
        <w:rPr>
          <w:rFonts w:hint="eastAsia" w:ascii="仿宋" w:hAnsi="仿宋" w:eastAsia="仿宋"/>
          <w:color w:val="000000"/>
          <w:szCs w:val="32"/>
        </w:rPr>
        <w:t>万元，</w:t>
      </w:r>
      <w:r>
        <w:rPr>
          <w:rFonts w:hint="eastAsia" w:ascii="仿宋" w:hAnsi="仿宋" w:eastAsia="仿宋"/>
          <w:color w:val="000000"/>
          <w:szCs w:val="32"/>
          <w:lang w:val="en-US" w:eastAsia="zh-CN"/>
        </w:rPr>
        <w:t>3.52</w:t>
      </w:r>
      <w:r>
        <w:rPr>
          <w:rFonts w:hint="eastAsia" w:ascii="仿宋" w:hAnsi="仿宋" w:eastAsia="仿宋"/>
          <w:color w:val="000000"/>
          <w:szCs w:val="32"/>
        </w:rPr>
        <w:t>占</w:t>
      </w:r>
      <w:r>
        <w:rPr>
          <w:rFonts w:ascii="仿宋" w:hAnsi="仿宋" w:eastAsia="仿宋"/>
          <w:color w:val="000000"/>
          <w:szCs w:val="32"/>
        </w:rPr>
        <w:t>%</w:t>
      </w:r>
      <w:r>
        <w:rPr>
          <w:rFonts w:hint="eastAsia" w:ascii="仿宋" w:hAnsi="仿宋" w:eastAsia="仿宋"/>
          <w:color w:val="000000"/>
          <w:szCs w:val="32"/>
        </w:rPr>
        <w:t>。</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25" w:name="_Toc15377212"/>
      <w:r>
        <w:rPr>
          <w:rFonts w:hint="eastAsia" w:ascii="仿宋" w:hAnsi="仿宋" w:eastAsia="仿宋"/>
          <w:b/>
          <w:color w:val="000000"/>
          <w:sz w:val="32"/>
          <w:szCs w:val="32"/>
        </w:rPr>
        <w:t>（三）一般公共预算财政拨款支出决算具体情况</w:t>
      </w:r>
      <w:bookmarkEnd w:id="25"/>
    </w:p>
    <w:p>
      <w:pPr>
        <w:spacing w:line="560" w:lineRule="exact"/>
        <w:ind w:firstLine="640" w:firstLineChars="200"/>
        <w:rPr>
          <w:rFonts w:ascii="仿宋_GB2312"/>
        </w:rPr>
      </w:pPr>
      <w:bookmarkStart w:id="26" w:name="_Toc15377444"/>
      <w:bookmarkStart w:id="27" w:name="_Toc15378460"/>
      <w:bookmarkStart w:id="28" w:name="_Toc15377213"/>
      <w:r>
        <w:rPr>
          <w:rFonts w:hint="eastAsia" w:ascii="仿宋_GB2312"/>
          <w:lang w:eastAsia="zh-CN"/>
        </w:rPr>
        <w:t>2021</w:t>
      </w:r>
      <w:r>
        <w:rPr>
          <w:rFonts w:hint="eastAsia" w:ascii="仿宋_GB2312"/>
        </w:rPr>
        <w:t>年一般公共预算支出决算数为</w:t>
      </w:r>
      <w:r>
        <w:rPr>
          <w:rFonts w:hint="eastAsia" w:ascii="仿宋" w:hAnsi="仿宋" w:eastAsia="仿宋"/>
          <w:color w:val="000000"/>
          <w:szCs w:val="32"/>
          <w:lang w:val="en-US" w:eastAsia="zh-CN"/>
        </w:rPr>
        <w:t>1478.65</w:t>
      </w:r>
      <w:r>
        <w:rPr>
          <w:rFonts w:hint="eastAsia" w:ascii="仿宋_GB2312"/>
        </w:rPr>
        <w:t>万元，</w:t>
      </w:r>
      <w:r>
        <w:rPr>
          <w:rFonts w:hint="eastAsia" w:ascii="仿宋_GB2312"/>
          <w:b/>
        </w:rPr>
        <w:t>完成预算100%。其中：</w:t>
      </w:r>
      <w:bookmarkEnd w:id="26"/>
      <w:bookmarkEnd w:id="27"/>
      <w:bookmarkEnd w:id="28"/>
    </w:p>
    <w:p>
      <w:pPr>
        <w:spacing w:line="560" w:lineRule="exact"/>
        <w:ind w:firstLine="643" w:firstLineChars="200"/>
        <w:rPr>
          <w:rFonts w:ascii="仿宋_GB2312" w:hAnsi="仿宋"/>
          <w:color w:val="000000"/>
          <w:szCs w:val="32"/>
        </w:rPr>
      </w:pPr>
      <w:r>
        <w:rPr>
          <w:rStyle w:val="14"/>
          <w:rFonts w:ascii="仿宋" w:hAnsi="仿宋" w:eastAsia="仿宋"/>
          <w:bCs/>
          <w:color w:val="000000"/>
          <w:sz w:val="32"/>
          <w:szCs w:val="32"/>
        </w:rPr>
        <w:t>1.</w:t>
      </w:r>
      <w:r>
        <w:rPr>
          <w:rStyle w:val="14"/>
          <w:rFonts w:hint="eastAsia" w:ascii="仿宋" w:hAnsi="仿宋" w:eastAsia="仿宋"/>
          <w:bCs w:val="0"/>
          <w:color w:val="000000"/>
          <w:szCs w:val="32"/>
        </w:rPr>
        <w:t>公共安全</w:t>
      </w:r>
      <w:r>
        <w:rPr>
          <w:rStyle w:val="14"/>
          <w:rFonts w:ascii="仿宋" w:hAnsi="仿宋" w:eastAsia="仿宋"/>
          <w:bCs w:val="0"/>
          <w:color w:val="000000"/>
          <w:szCs w:val="32"/>
        </w:rPr>
        <w:t xml:space="preserve">: </w:t>
      </w:r>
      <w:r>
        <w:rPr>
          <w:rFonts w:hint="eastAsia" w:ascii="仿宋_GB2312"/>
        </w:rPr>
        <w:t>2040201行政运行支出决算为</w:t>
      </w:r>
      <w:r>
        <w:rPr>
          <w:rFonts w:hint="eastAsia" w:ascii="仿宋_GB2312"/>
          <w:lang w:val="en-US" w:eastAsia="zh-CN"/>
        </w:rPr>
        <w:t>797.2</w:t>
      </w:r>
      <w:r>
        <w:rPr>
          <w:rFonts w:hint="eastAsia" w:ascii="仿宋_GB2312"/>
        </w:rPr>
        <w:t>万元，完成预算100.00</w:t>
      </w:r>
      <w:r>
        <w:rPr>
          <w:rFonts w:ascii="仿宋_GB2312"/>
        </w:rPr>
        <w:t>%</w:t>
      </w:r>
      <w:r>
        <w:rPr>
          <w:rFonts w:hint="eastAsia" w:ascii="仿宋_GB2312"/>
        </w:rPr>
        <w:t>；2040202一般行政管理事务支出决算为</w:t>
      </w:r>
      <w:r>
        <w:rPr>
          <w:rFonts w:hint="eastAsia" w:ascii="仿宋_GB2312"/>
          <w:lang w:val="en-US" w:eastAsia="zh-CN"/>
        </w:rPr>
        <w:t>637.93</w:t>
      </w:r>
      <w:r>
        <w:rPr>
          <w:rFonts w:hint="eastAsia" w:ascii="仿宋_GB2312"/>
        </w:rPr>
        <w:t>万元，完成预算100%；</w:t>
      </w:r>
      <w:r>
        <w:rPr>
          <w:rFonts w:hint="eastAsia" w:ascii="仿宋_GB2312"/>
          <w:lang w:val="en-US" w:eastAsia="zh-CN"/>
        </w:rPr>
        <w:t>2040699</w:t>
      </w:r>
      <w:r>
        <w:rPr>
          <w:rFonts w:hint="eastAsia" w:ascii="仿宋_GB2312"/>
        </w:rPr>
        <w:t>其他</w:t>
      </w:r>
      <w:r>
        <w:rPr>
          <w:rFonts w:hint="eastAsia" w:ascii="仿宋_GB2312"/>
          <w:lang w:eastAsia="zh-CN"/>
        </w:rPr>
        <w:t>司法</w:t>
      </w:r>
      <w:r>
        <w:rPr>
          <w:rFonts w:hint="eastAsia" w:ascii="仿宋_GB2312"/>
        </w:rPr>
        <w:t>支出决算为</w:t>
      </w:r>
      <w:r>
        <w:rPr>
          <w:rFonts w:hint="eastAsia" w:ascii="仿宋_GB2312"/>
          <w:lang w:val="en-US" w:eastAsia="zh-CN"/>
        </w:rPr>
        <w:t>30.52</w:t>
      </w:r>
      <w:r>
        <w:rPr>
          <w:rFonts w:hint="eastAsia" w:ascii="仿宋_GB2312"/>
        </w:rPr>
        <w:t>万元，完成预算100.00%。</w:t>
      </w:r>
    </w:p>
    <w:p>
      <w:pPr>
        <w:spacing w:line="560" w:lineRule="exact"/>
        <w:ind w:firstLine="643" w:firstLineChars="200"/>
        <w:rPr>
          <w:rFonts w:ascii="仿宋_GB2312"/>
        </w:rPr>
      </w:pPr>
      <w:r>
        <w:rPr>
          <w:rStyle w:val="14"/>
          <w:rFonts w:hint="eastAsia" w:ascii="仿宋" w:hAnsi="仿宋" w:eastAsia="仿宋"/>
          <w:bCs w:val="0"/>
          <w:color w:val="000000"/>
          <w:szCs w:val="32"/>
        </w:rPr>
        <w:t>2</w:t>
      </w:r>
      <w:r>
        <w:rPr>
          <w:rStyle w:val="14"/>
          <w:rFonts w:ascii="仿宋" w:hAnsi="仿宋" w:eastAsia="仿宋"/>
          <w:bCs w:val="0"/>
          <w:color w:val="000000"/>
          <w:szCs w:val="32"/>
        </w:rPr>
        <w:t>.</w:t>
      </w:r>
      <w:r>
        <w:rPr>
          <w:rStyle w:val="14"/>
          <w:rFonts w:hint="eastAsia" w:ascii="仿宋" w:hAnsi="仿宋" w:eastAsia="仿宋"/>
          <w:bCs w:val="0"/>
          <w:color w:val="000000"/>
          <w:szCs w:val="32"/>
        </w:rPr>
        <w:t>社会保障和就业</w:t>
      </w:r>
      <w:r>
        <w:rPr>
          <w:rStyle w:val="14"/>
          <w:rFonts w:ascii="仿宋" w:hAnsi="仿宋" w:eastAsia="仿宋"/>
          <w:bCs w:val="0"/>
          <w:color w:val="000000"/>
          <w:szCs w:val="32"/>
        </w:rPr>
        <w:t xml:space="preserve">: </w:t>
      </w:r>
      <w:r>
        <w:rPr>
          <w:rFonts w:hint="eastAsia" w:ascii="仿宋_GB2312"/>
        </w:rPr>
        <w:t>2080501归口管理的行政单位离退休支出决算</w:t>
      </w:r>
      <w:r>
        <w:rPr>
          <w:rFonts w:hint="eastAsia" w:ascii="仿宋_GB2312"/>
          <w:lang w:val="en-US" w:eastAsia="zh-CN"/>
        </w:rPr>
        <w:t>26.34</w:t>
      </w:r>
      <w:r>
        <w:rPr>
          <w:rFonts w:hint="eastAsia" w:ascii="仿宋_GB2312"/>
        </w:rPr>
        <w:t>万元。完成预算100.00%；2080505机关事业单位基本养老保险缴费支出决算为</w:t>
      </w:r>
      <w:r>
        <w:rPr>
          <w:rFonts w:hint="eastAsia" w:ascii="仿宋_GB2312"/>
          <w:lang w:val="en-US" w:eastAsia="zh-CN"/>
        </w:rPr>
        <w:t>34.31</w:t>
      </w:r>
      <w:r>
        <w:rPr>
          <w:rFonts w:hint="eastAsia" w:ascii="仿宋_GB2312"/>
        </w:rPr>
        <w:t>万元，完成预算100.00%；2080506机关事业单位职业年金缴费支出决算为</w:t>
      </w:r>
      <w:r>
        <w:rPr>
          <w:rFonts w:hint="eastAsia" w:ascii="仿宋_GB2312"/>
          <w:lang w:val="en-US" w:eastAsia="zh-CN"/>
        </w:rPr>
        <w:t>24.95</w:t>
      </w:r>
      <w:r>
        <w:rPr>
          <w:rFonts w:hint="eastAsia" w:ascii="仿宋_GB2312"/>
        </w:rPr>
        <w:t>万元，完成预算100.00%</w:t>
      </w:r>
      <w:r>
        <w:rPr>
          <w:rFonts w:hint="eastAsia" w:ascii="仿宋_GB2312"/>
          <w:lang w:eastAsia="zh-CN"/>
        </w:rPr>
        <w:t>；</w:t>
      </w:r>
      <w:r>
        <w:rPr>
          <w:rFonts w:hint="eastAsia" w:ascii="仿宋_GB2312"/>
        </w:rPr>
        <w:t>2080</w:t>
      </w:r>
      <w:r>
        <w:rPr>
          <w:rFonts w:hint="eastAsia" w:ascii="仿宋_GB2312"/>
          <w:lang w:val="en-US" w:eastAsia="zh-CN"/>
        </w:rPr>
        <w:t>8</w:t>
      </w:r>
      <w:r>
        <w:rPr>
          <w:rFonts w:hint="eastAsia" w:ascii="仿宋_GB2312"/>
        </w:rPr>
        <w:t>01</w:t>
      </w:r>
      <w:r>
        <w:rPr>
          <w:rFonts w:hint="eastAsia" w:ascii="仿宋_GB2312"/>
          <w:lang w:eastAsia="zh-CN"/>
        </w:rPr>
        <w:t>死亡抚恤</w:t>
      </w:r>
      <w:r>
        <w:rPr>
          <w:rFonts w:hint="eastAsia" w:ascii="仿宋_GB2312"/>
        </w:rPr>
        <w:t>支出决算为</w:t>
      </w:r>
      <w:r>
        <w:rPr>
          <w:rFonts w:hint="eastAsia" w:ascii="仿宋_GB2312"/>
          <w:lang w:val="en-US" w:eastAsia="zh-CN"/>
        </w:rPr>
        <w:t>51.26万元，</w:t>
      </w:r>
      <w:r>
        <w:rPr>
          <w:rFonts w:hint="eastAsia" w:ascii="仿宋_GB2312"/>
        </w:rPr>
        <w:t>完成预算100.00%。</w:t>
      </w:r>
    </w:p>
    <w:p>
      <w:pPr>
        <w:spacing w:line="560" w:lineRule="exact"/>
        <w:ind w:firstLine="643" w:firstLineChars="200"/>
        <w:rPr>
          <w:rFonts w:ascii="仿宋_GB2312"/>
        </w:rPr>
      </w:pPr>
      <w:r>
        <w:rPr>
          <w:rStyle w:val="14"/>
          <w:rFonts w:hint="eastAsia" w:ascii="仿宋" w:hAnsi="仿宋" w:eastAsia="仿宋"/>
          <w:bCs w:val="0"/>
          <w:color w:val="000000"/>
          <w:szCs w:val="32"/>
        </w:rPr>
        <w:t>3</w:t>
      </w:r>
      <w:r>
        <w:rPr>
          <w:rStyle w:val="14"/>
          <w:rFonts w:ascii="仿宋" w:hAnsi="仿宋" w:eastAsia="仿宋"/>
          <w:bCs w:val="0"/>
          <w:color w:val="000000"/>
          <w:szCs w:val="32"/>
        </w:rPr>
        <w:t>.</w:t>
      </w:r>
      <w:r>
        <w:rPr>
          <w:rFonts w:hint="eastAsia" w:ascii="仿宋" w:hAnsi="仿宋" w:eastAsia="仿宋"/>
          <w:b/>
          <w:bCs/>
          <w:color w:val="000000"/>
          <w:szCs w:val="32"/>
        </w:rPr>
        <w:t>卫生健康</w:t>
      </w:r>
      <w:r>
        <w:rPr>
          <w:rStyle w:val="14"/>
          <w:rFonts w:ascii="仿宋" w:hAnsi="仿宋" w:eastAsia="仿宋"/>
          <w:bCs w:val="0"/>
          <w:color w:val="000000"/>
          <w:szCs w:val="32"/>
        </w:rPr>
        <w:t>:</w:t>
      </w:r>
      <w:r>
        <w:rPr>
          <w:rFonts w:hint="eastAsia" w:ascii="仿宋_GB2312"/>
        </w:rPr>
        <w:t>2101101行政单位医疗支出决算为</w:t>
      </w:r>
      <w:r>
        <w:rPr>
          <w:rFonts w:hint="eastAsia" w:ascii="仿宋_GB2312"/>
          <w:lang w:val="en-US" w:eastAsia="zh-CN"/>
        </w:rPr>
        <w:t>37.16</w:t>
      </w:r>
      <w:r>
        <w:rPr>
          <w:rFonts w:hint="eastAsia" w:ascii="仿宋_GB2312"/>
        </w:rPr>
        <w:t>万元，完成预算100.00%；2100409重大公共卫生服务支出决算为</w:t>
      </w:r>
      <w:r>
        <w:rPr>
          <w:rFonts w:hint="eastAsia" w:ascii="仿宋_GB2312"/>
          <w:lang w:val="en-US" w:eastAsia="zh-CN"/>
        </w:rPr>
        <w:t>10</w:t>
      </w:r>
      <w:r>
        <w:rPr>
          <w:rFonts w:hint="eastAsia" w:ascii="仿宋_GB2312"/>
        </w:rPr>
        <w:t>万元，完成预算</w:t>
      </w:r>
      <w:r>
        <w:rPr>
          <w:rFonts w:hint="eastAsia" w:ascii="仿宋_GB2312"/>
          <w:lang w:val="en-US" w:eastAsia="zh-CN"/>
        </w:rPr>
        <w:t>10</w:t>
      </w:r>
      <w:r>
        <w:rPr>
          <w:rFonts w:hint="eastAsia" w:ascii="仿宋_GB2312"/>
        </w:rPr>
        <w:t>0%。</w:t>
      </w:r>
    </w:p>
    <w:p>
      <w:pPr>
        <w:spacing w:line="560" w:lineRule="exact"/>
        <w:ind w:firstLine="643" w:firstLineChars="200"/>
        <w:rPr>
          <w:rFonts w:hint="eastAsia" w:ascii="仿宋_GB2312"/>
        </w:rPr>
      </w:pPr>
      <w:r>
        <w:rPr>
          <w:rStyle w:val="14"/>
          <w:rFonts w:hint="eastAsia" w:ascii="仿宋" w:hAnsi="仿宋" w:eastAsia="仿宋"/>
          <w:bCs w:val="0"/>
          <w:color w:val="000000"/>
          <w:szCs w:val="32"/>
        </w:rPr>
        <w:t>4</w:t>
      </w:r>
      <w:r>
        <w:rPr>
          <w:rStyle w:val="14"/>
          <w:rFonts w:ascii="仿宋" w:hAnsi="仿宋" w:eastAsia="仿宋"/>
          <w:bCs w:val="0"/>
          <w:color w:val="000000"/>
          <w:szCs w:val="32"/>
        </w:rPr>
        <w:t>.</w:t>
      </w:r>
      <w:r>
        <w:rPr>
          <w:rFonts w:hint="eastAsia" w:ascii="仿宋" w:hAnsi="仿宋" w:eastAsia="仿宋"/>
          <w:b/>
          <w:bCs/>
          <w:color w:val="000000"/>
          <w:szCs w:val="32"/>
        </w:rPr>
        <w:t>住房保障</w:t>
      </w:r>
      <w:r>
        <w:rPr>
          <w:rStyle w:val="14"/>
          <w:rFonts w:ascii="仿宋" w:hAnsi="仿宋" w:eastAsia="仿宋"/>
          <w:bCs w:val="0"/>
          <w:color w:val="000000"/>
          <w:szCs w:val="32"/>
        </w:rPr>
        <w:t>:</w:t>
      </w:r>
      <w:r>
        <w:rPr>
          <w:rFonts w:hint="eastAsia" w:ascii="仿宋_GB2312"/>
        </w:rPr>
        <w:t>2210201住房公积金支出决算为</w:t>
      </w:r>
      <w:r>
        <w:rPr>
          <w:rFonts w:hint="eastAsia" w:ascii="仿宋_GB2312"/>
          <w:lang w:val="en-US" w:eastAsia="zh-CN"/>
        </w:rPr>
        <w:t>51.89</w:t>
      </w:r>
      <w:r>
        <w:rPr>
          <w:rFonts w:hint="eastAsia" w:ascii="仿宋_GB2312"/>
        </w:rPr>
        <w:t>万元，完成预算100.00</w:t>
      </w:r>
      <w:r>
        <w:rPr>
          <w:rFonts w:ascii="仿宋_GB2312"/>
        </w:rPr>
        <w:t>%</w:t>
      </w:r>
      <w:r>
        <w:rPr>
          <w:rFonts w:hint="eastAsia" w:ascii="仿宋_GB2312"/>
        </w:rPr>
        <w:t>。</w:t>
      </w:r>
    </w:p>
    <w:p>
      <w:pPr>
        <w:spacing w:line="560" w:lineRule="exact"/>
        <w:ind w:firstLine="643" w:firstLineChars="200"/>
        <w:rPr>
          <w:rFonts w:hint="eastAsia" w:ascii="仿宋_GB2312"/>
        </w:rPr>
      </w:pPr>
      <w:r>
        <w:rPr>
          <w:rStyle w:val="14"/>
          <w:rFonts w:hint="eastAsia" w:ascii="仿宋" w:hAnsi="仿宋" w:eastAsia="仿宋"/>
          <w:bCs w:val="0"/>
          <w:color w:val="000000"/>
          <w:szCs w:val="32"/>
          <w:lang w:val="en-US" w:eastAsia="zh-CN"/>
        </w:rPr>
        <w:t>5</w:t>
      </w:r>
      <w:r>
        <w:rPr>
          <w:rStyle w:val="14"/>
          <w:rFonts w:ascii="仿宋" w:hAnsi="仿宋" w:eastAsia="仿宋"/>
          <w:bCs w:val="0"/>
          <w:color w:val="000000"/>
          <w:szCs w:val="32"/>
        </w:rPr>
        <w:t>.</w:t>
      </w:r>
      <w:r>
        <w:rPr>
          <w:rFonts w:hint="eastAsia" w:ascii="仿宋" w:hAnsi="仿宋" w:eastAsia="仿宋"/>
          <w:b/>
          <w:bCs/>
          <w:color w:val="000000"/>
          <w:szCs w:val="32"/>
          <w:lang w:eastAsia="zh-CN"/>
        </w:rPr>
        <w:t>城乡社区</w:t>
      </w:r>
      <w:r>
        <w:rPr>
          <w:rStyle w:val="14"/>
          <w:rFonts w:ascii="仿宋" w:hAnsi="仿宋" w:eastAsia="仿宋"/>
          <w:bCs w:val="0"/>
          <w:color w:val="000000"/>
          <w:szCs w:val="32"/>
        </w:rPr>
        <w:t>:</w:t>
      </w:r>
      <w:r>
        <w:rPr>
          <w:rFonts w:hint="eastAsia" w:ascii="仿宋_GB2312" w:hAnsi="Times New Roman" w:cs="Times New Roman"/>
          <w:lang w:val="en-US" w:eastAsia="zh-CN"/>
        </w:rPr>
        <w:t>2121399城市基础设施配套决算为3万元，</w:t>
      </w:r>
      <w:r>
        <w:rPr>
          <w:rFonts w:hint="eastAsia" w:ascii="仿宋_GB2312"/>
        </w:rPr>
        <w:t>完成预算100.00</w:t>
      </w:r>
      <w:r>
        <w:rPr>
          <w:rFonts w:ascii="仿宋_GB2312"/>
        </w:rPr>
        <w:t>%</w:t>
      </w:r>
      <w:r>
        <w:rPr>
          <w:rFonts w:hint="eastAsia" w:ascii="仿宋_GB231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17"/>
        </w:rPr>
      </w:pPr>
      <w:bookmarkStart w:id="29" w:name="_Toc16675"/>
      <w:bookmarkStart w:id="30" w:name="_Toc15377214"/>
      <w:bookmarkStart w:id="3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29"/>
      <w:bookmarkEnd w:id="30"/>
      <w:bookmarkEnd w:id="31"/>
      <w:r>
        <w:rPr>
          <w:rStyle w:val="17"/>
          <w:rFonts w:ascii="黑体" w:hAnsi="黑体" w:eastAsia="黑体"/>
          <w:b w:val="0"/>
        </w:rPr>
        <w:tab/>
      </w:r>
    </w:p>
    <w:p>
      <w:pPr>
        <w:spacing w:line="560" w:lineRule="exact"/>
        <w:ind w:firstLine="645"/>
        <w:rPr>
          <w:rFonts w:ascii="仿宋" w:hAnsi="仿宋" w:eastAsia="仿宋"/>
          <w:color w:val="000000"/>
          <w:szCs w:val="32"/>
        </w:rPr>
      </w:pPr>
      <w:bookmarkStart w:id="32" w:name="_Toc19737"/>
      <w:bookmarkStart w:id="33" w:name="_Toc15377215"/>
      <w:bookmarkStart w:id="34" w:name="_Toc15396609"/>
      <w:r>
        <w:rPr>
          <w:rFonts w:hint="eastAsia" w:ascii="仿宋" w:hAnsi="仿宋" w:eastAsia="仿宋"/>
          <w:color w:val="000000"/>
          <w:szCs w:val="32"/>
          <w:lang w:eastAsia="zh-CN"/>
        </w:rPr>
        <w:t>2021</w:t>
      </w:r>
      <w:r>
        <w:rPr>
          <w:rFonts w:hint="eastAsia" w:ascii="仿宋" w:hAnsi="仿宋" w:eastAsia="仿宋"/>
          <w:color w:val="000000"/>
          <w:szCs w:val="32"/>
        </w:rPr>
        <w:t>年一般公共预算财政拨款基本支出7</w:t>
      </w:r>
      <w:r>
        <w:rPr>
          <w:rFonts w:hint="eastAsia" w:ascii="仿宋" w:hAnsi="仿宋" w:eastAsia="仿宋"/>
          <w:color w:val="000000"/>
          <w:szCs w:val="32"/>
          <w:lang w:val="en-US" w:eastAsia="zh-CN"/>
        </w:rPr>
        <w:t>97.2</w:t>
      </w:r>
      <w:r>
        <w:rPr>
          <w:rFonts w:hint="eastAsia" w:ascii="仿宋" w:hAnsi="仿宋" w:eastAsia="仿宋"/>
          <w:color w:val="000000"/>
          <w:szCs w:val="32"/>
        </w:rPr>
        <w:t>万元，其中：</w:t>
      </w:r>
    </w:p>
    <w:p>
      <w:pPr>
        <w:spacing w:line="560" w:lineRule="exact"/>
        <w:ind w:firstLine="645"/>
        <w:rPr>
          <w:rFonts w:hint="eastAsia" w:ascii="黑体" w:eastAsia="黑体"/>
          <w:color w:val="000000"/>
          <w:sz w:val="32"/>
          <w:szCs w:val="32"/>
        </w:rPr>
      </w:pPr>
      <w:r>
        <w:rPr>
          <w:rFonts w:hint="eastAsia" w:ascii="仿宋" w:hAnsi="仿宋" w:eastAsia="仿宋"/>
          <w:color w:val="000000"/>
          <w:szCs w:val="32"/>
        </w:rPr>
        <w:t>人员经费</w:t>
      </w:r>
      <w:r>
        <w:rPr>
          <w:rFonts w:hint="eastAsia" w:ascii="仿宋" w:hAnsi="仿宋" w:eastAsia="仿宋"/>
          <w:color w:val="000000"/>
          <w:szCs w:val="32"/>
          <w:lang w:val="en-US" w:eastAsia="zh-CN"/>
        </w:rPr>
        <w:t>663.46万</w:t>
      </w:r>
      <w:r>
        <w:rPr>
          <w:rFonts w:hint="eastAsia" w:ascii="仿宋" w:hAnsi="仿宋" w:eastAsia="仿宋"/>
          <w:color w:val="000000"/>
          <w:szCs w:val="32"/>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Cs w:val="32"/>
        </w:rPr>
        <w:br w:type="textWrapping"/>
      </w:r>
      <w:r>
        <w:rPr>
          <w:rFonts w:hint="eastAsia" w:ascii="仿宋" w:hAnsi="仿宋" w:eastAsia="仿宋"/>
          <w:color w:val="000000"/>
          <w:szCs w:val="32"/>
        </w:rPr>
        <w:t>　　日常公用经费</w:t>
      </w:r>
      <w:r>
        <w:rPr>
          <w:rFonts w:hint="eastAsia" w:ascii="仿宋" w:hAnsi="仿宋" w:eastAsia="仿宋"/>
          <w:color w:val="000000"/>
          <w:szCs w:val="32"/>
          <w:lang w:val="en-US" w:eastAsia="zh-CN"/>
        </w:rPr>
        <w:t>133.74</w:t>
      </w:r>
      <w:r>
        <w:rPr>
          <w:rFonts w:hint="eastAsia" w:ascii="仿宋" w:hAnsi="仿宋" w:eastAsia="仿宋"/>
          <w:color w:val="000000"/>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黑体" w:hAnsi="黑体" w:eastAsia="黑体"/>
          <w:b w:val="0"/>
        </w:rPr>
      </w:pPr>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32"/>
      <w:bookmarkEnd w:id="33"/>
      <w:bookmarkEnd w:id="34"/>
    </w:p>
    <w:p>
      <w:pPr>
        <w:spacing w:line="600" w:lineRule="exact"/>
        <w:ind w:firstLine="640"/>
        <w:outlineLvl w:val="2"/>
        <w:rPr>
          <w:rFonts w:ascii="仿宋" w:hAnsi="仿宋" w:eastAsia="仿宋"/>
          <w:b/>
          <w:color w:val="000000"/>
          <w:sz w:val="32"/>
          <w:szCs w:val="32"/>
        </w:rPr>
      </w:pPr>
      <w:bookmarkStart w:id="35" w:name="_Toc15377216"/>
      <w:r>
        <w:rPr>
          <w:rFonts w:hint="eastAsia" w:ascii="仿宋" w:hAnsi="仿宋" w:eastAsia="仿宋"/>
          <w:b/>
          <w:color w:val="000000"/>
          <w:sz w:val="32"/>
          <w:szCs w:val="32"/>
        </w:rPr>
        <w:t>（一）“三公”经费财政拨款支出决算总体情况说明</w:t>
      </w:r>
      <w:bookmarkEnd w:id="35"/>
    </w:p>
    <w:p>
      <w:pPr>
        <w:spacing w:line="560" w:lineRule="exact"/>
        <w:ind w:firstLine="640"/>
        <w:rPr>
          <w:rFonts w:ascii="仿宋" w:hAnsi="仿宋" w:eastAsia="仿宋"/>
          <w:color w:val="000000"/>
          <w:sz w:val="32"/>
          <w:szCs w:val="32"/>
        </w:rPr>
      </w:pPr>
      <w:bookmarkStart w:id="36" w:name="_Toc15377217"/>
      <w:r>
        <w:rPr>
          <w:rFonts w:hint="eastAsia" w:ascii="仿宋" w:hAnsi="仿宋" w:eastAsia="仿宋"/>
          <w:color w:val="000000"/>
          <w:szCs w:val="32"/>
          <w:lang w:eastAsia="zh-CN"/>
        </w:rPr>
        <w:t>2021</w:t>
      </w:r>
      <w:r>
        <w:rPr>
          <w:rFonts w:hint="eastAsia" w:ascii="仿宋" w:hAnsi="仿宋" w:eastAsia="仿宋"/>
          <w:color w:val="000000"/>
          <w:szCs w:val="32"/>
        </w:rPr>
        <w:t>年“三公”经费财政拨款支出决算为</w:t>
      </w:r>
      <w:r>
        <w:rPr>
          <w:rFonts w:hint="eastAsia" w:ascii="仿宋" w:hAnsi="仿宋" w:eastAsia="仿宋"/>
          <w:color w:val="000000"/>
          <w:szCs w:val="32"/>
          <w:lang w:val="en-US" w:eastAsia="zh-CN"/>
        </w:rPr>
        <w:t>10.63</w:t>
      </w:r>
      <w:r>
        <w:rPr>
          <w:rFonts w:hint="eastAsia" w:ascii="仿宋" w:hAnsi="仿宋" w:eastAsia="仿宋"/>
          <w:color w:val="000000"/>
          <w:szCs w:val="32"/>
        </w:rPr>
        <w:t>万元，完成预算9</w:t>
      </w:r>
      <w:r>
        <w:rPr>
          <w:rFonts w:hint="eastAsia" w:ascii="仿宋" w:hAnsi="仿宋" w:eastAsia="仿宋"/>
          <w:color w:val="000000"/>
          <w:szCs w:val="32"/>
          <w:lang w:val="en-US" w:eastAsia="zh-CN"/>
        </w:rPr>
        <w:t>6</w:t>
      </w:r>
      <w:r>
        <w:rPr>
          <w:rFonts w:ascii="仿宋" w:hAnsi="仿宋" w:eastAsia="仿宋"/>
          <w:color w:val="000000"/>
          <w:szCs w:val="32"/>
        </w:rPr>
        <w:t>%</w:t>
      </w:r>
      <w:r>
        <w:rPr>
          <w:rFonts w:hint="eastAsia" w:ascii="仿宋" w:hAnsi="仿宋" w:eastAsia="仿宋"/>
          <w:color w:val="000000"/>
          <w:szCs w:val="32"/>
          <w:lang w:val="en-US" w:eastAsia="zh-CN"/>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厉行节俭，弘扬艰苦奋斗的优良作风</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bookmarkEnd w:id="36"/>
    </w:p>
    <w:p>
      <w:pPr>
        <w:spacing w:line="560" w:lineRule="exact"/>
        <w:ind w:firstLine="640"/>
        <w:rPr>
          <w:rFonts w:ascii="仿宋" w:hAnsi="仿宋" w:eastAsia="仿宋"/>
          <w:color w:val="000000"/>
          <w:szCs w:val="32"/>
        </w:rPr>
      </w:pPr>
      <w:bookmarkStart w:id="37" w:name="_Toc15396610"/>
      <w:bookmarkStart w:id="38" w:name="_Toc15377218"/>
      <w:r>
        <w:rPr>
          <w:rFonts w:ascii="仿宋" w:hAnsi="仿宋" w:eastAsia="仿宋"/>
          <w:color w:val="000000"/>
          <w:szCs w:val="32"/>
        </w:rPr>
        <w:drawing>
          <wp:anchor distT="0" distB="0" distL="114300" distR="114300" simplePos="0" relativeHeight="251663360" behindDoc="0" locked="0" layoutInCell="1" allowOverlap="1">
            <wp:simplePos x="0" y="0"/>
            <wp:positionH relativeFrom="column">
              <wp:posOffset>800735</wp:posOffset>
            </wp:positionH>
            <wp:positionV relativeFrom="paragraph">
              <wp:posOffset>1532890</wp:posOffset>
            </wp:positionV>
            <wp:extent cx="3664585" cy="1925955"/>
            <wp:effectExtent l="0" t="0" r="12065" b="1714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64800" cy="1926000"/>
                    </a:xfrm>
                    <a:prstGeom prst="rect">
                      <a:avLst/>
                    </a:prstGeom>
                    <a:noFill/>
                    <a:ln>
                      <a:noFill/>
                    </a:ln>
                  </pic:spPr>
                </pic:pic>
              </a:graphicData>
            </a:graphic>
          </wp:anchor>
        </w:drawing>
      </w:r>
      <w:r>
        <w:rPr>
          <w:rFonts w:hint="eastAsia" w:ascii="仿宋" w:hAnsi="仿宋" w:eastAsia="仿宋"/>
          <w:color w:val="000000"/>
          <w:szCs w:val="32"/>
          <w:lang w:eastAsia="zh-CN"/>
        </w:rPr>
        <w:t>2021</w:t>
      </w:r>
      <w:r>
        <w:rPr>
          <w:rFonts w:hint="eastAsia" w:ascii="仿宋" w:hAnsi="仿宋" w:eastAsia="仿宋"/>
          <w:color w:val="000000"/>
          <w:szCs w:val="32"/>
        </w:rPr>
        <w:t>年“三公”经费财政拨款支出决算中，因公出国（境）费支出决算0万元，占</w:t>
      </w:r>
      <w:r>
        <w:rPr>
          <w:rFonts w:hint="eastAsia" w:ascii="仿宋" w:hAnsi="仿宋" w:eastAsia="仿宋"/>
          <w:color w:val="000000"/>
          <w:szCs w:val="32"/>
          <w:lang w:val="en-US" w:eastAsia="zh-CN"/>
        </w:rPr>
        <w:t>0</w:t>
      </w:r>
      <w:r>
        <w:rPr>
          <w:rFonts w:ascii="仿宋" w:hAnsi="仿宋" w:eastAsia="仿宋"/>
          <w:color w:val="000000"/>
          <w:szCs w:val="32"/>
        </w:rPr>
        <w:t>%</w:t>
      </w:r>
      <w:r>
        <w:rPr>
          <w:rFonts w:hint="eastAsia" w:ascii="仿宋" w:hAnsi="仿宋" w:eastAsia="仿宋"/>
          <w:color w:val="000000"/>
          <w:szCs w:val="32"/>
        </w:rPr>
        <w:t>；公务用车购置及运行维护费支出决算6.</w:t>
      </w:r>
      <w:r>
        <w:rPr>
          <w:rFonts w:hint="eastAsia" w:ascii="仿宋" w:hAnsi="仿宋" w:eastAsia="仿宋"/>
          <w:color w:val="000000"/>
          <w:szCs w:val="32"/>
          <w:lang w:val="en-US" w:eastAsia="zh-CN"/>
        </w:rPr>
        <w:t>91</w:t>
      </w:r>
      <w:r>
        <w:rPr>
          <w:rFonts w:hint="eastAsia" w:ascii="仿宋" w:hAnsi="仿宋" w:eastAsia="仿宋"/>
          <w:color w:val="000000"/>
          <w:szCs w:val="32"/>
        </w:rPr>
        <w:t>万元，占</w:t>
      </w:r>
      <w:r>
        <w:rPr>
          <w:rFonts w:hint="eastAsia" w:ascii="仿宋" w:hAnsi="仿宋" w:eastAsia="仿宋"/>
          <w:color w:val="000000"/>
          <w:szCs w:val="32"/>
          <w:lang w:val="en-US" w:eastAsia="zh-CN"/>
        </w:rPr>
        <w:t>65</w:t>
      </w:r>
      <w:r>
        <w:rPr>
          <w:rFonts w:ascii="仿宋" w:hAnsi="仿宋" w:eastAsia="仿宋"/>
          <w:color w:val="000000"/>
          <w:szCs w:val="32"/>
        </w:rPr>
        <w:t>%</w:t>
      </w:r>
      <w:r>
        <w:rPr>
          <w:rFonts w:hint="eastAsia" w:ascii="仿宋" w:hAnsi="仿宋" w:eastAsia="仿宋"/>
          <w:color w:val="000000"/>
          <w:szCs w:val="32"/>
        </w:rPr>
        <w:t>；公务接待费支出决算3.</w:t>
      </w:r>
      <w:r>
        <w:rPr>
          <w:rFonts w:hint="eastAsia" w:ascii="仿宋" w:hAnsi="仿宋" w:eastAsia="仿宋"/>
          <w:color w:val="000000"/>
          <w:szCs w:val="32"/>
          <w:lang w:val="en-US" w:eastAsia="zh-CN"/>
        </w:rPr>
        <w:t>71</w:t>
      </w:r>
      <w:r>
        <w:rPr>
          <w:rFonts w:hint="eastAsia" w:ascii="仿宋" w:hAnsi="仿宋" w:eastAsia="仿宋"/>
          <w:color w:val="000000"/>
          <w:szCs w:val="32"/>
        </w:rPr>
        <w:t>万元，占</w:t>
      </w:r>
      <w:r>
        <w:rPr>
          <w:rFonts w:hint="eastAsia" w:ascii="仿宋" w:hAnsi="仿宋" w:eastAsia="仿宋"/>
          <w:color w:val="000000"/>
          <w:szCs w:val="32"/>
          <w:lang w:val="en-US" w:eastAsia="zh-CN"/>
        </w:rPr>
        <w:t>35</w:t>
      </w:r>
      <w:r>
        <w:rPr>
          <w:rFonts w:ascii="仿宋" w:hAnsi="仿宋" w:eastAsia="仿宋"/>
          <w:color w:val="000000"/>
          <w:szCs w:val="32"/>
        </w:rPr>
        <w:t>%</w:t>
      </w:r>
      <w:r>
        <w:rPr>
          <w:rFonts w:hint="eastAsia" w:ascii="仿宋" w:hAnsi="仿宋" w:eastAsia="仿宋"/>
          <w:color w:val="000000"/>
          <w:szCs w:val="32"/>
        </w:rPr>
        <w:t>。具体情况如下：</w:t>
      </w:r>
    </w:p>
    <w:p>
      <w:pPr>
        <w:numPr>
          <w:ilvl w:val="0"/>
          <w:numId w:val="2"/>
        </w:numPr>
        <w:spacing w:line="600" w:lineRule="exact"/>
        <w:ind w:firstLine="640"/>
        <w:rPr>
          <w:rFonts w:hint="eastAsia" w:ascii="仿宋_GB2312"/>
          <w:color w:val="000000"/>
          <w:sz w:val="32"/>
          <w:szCs w:val="32"/>
          <w:lang w:eastAsia="zh-CN"/>
        </w:rPr>
      </w:pPr>
      <w:r>
        <w:rPr>
          <w:rFonts w:hint="eastAsia" w:ascii="仿宋_GB2312" w:eastAsia="仿宋_GB2312"/>
          <w:b/>
          <w:color w:val="000000"/>
          <w:sz w:val="32"/>
          <w:szCs w:val="32"/>
        </w:rPr>
        <w:t>因公出国（境）经费支出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w:t>
      </w:r>
      <w:r>
        <w:rPr>
          <w:rFonts w:hint="eastAsia" w:ascii="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color w:val="000000"/>
          <w:sz w:val="32"/>
          <w:szCs w:val="32"/>
          <w:lang w:eastAsia="zh-CN"/>
        </w:rPr>
        <w:t>持平。</w:t>
      </w:r>
    </w:p>
    <w:p>
      <w:pPr>
        <w:numPr>
          <w:ilvl w:val="0"/>
          <w:numId w:val="0"/>
        </w:num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color w:val="000000"/>
          <w:sz w:val="32"/>
          <w:szCs w:val="32"/>
          <w:lang w:val="en-US" w:eastAsia="zh-CN"/>
        </w:rPr>
        <w:t>6.91</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hint="eastAsia" w:ascii="仿宋_GB2312"/>
          <w:color w:val="000000"/>
          <w:sz w:val="32"/>
          <w:szCs w:val="32"/>
          <w:lang w:val="en-US" w:eastAsia="zh-CN"/>
        </w:rPr>
        <w:t>2020</w:t>
      </w:r>
      <w:r>
        <w:rPr>
          <w:rFonts w:hint="eastAsia" w:ascii="仿宋_GB2312" w:eastAsia="仿宋_GB2312"/>
          <w:color w:val="000000"/>
          <w:sz w:val="32"/>
          <w:szCs w:val="32"/>
        </w:rPr>
        <w:t>年减少</w:t>
      </w:r>
      <w:r>
        <w:rPr>
          <w:rFonts w:hint="eastAsia" w:ascii="仿宋_GB2312"/>
          <w:color w:val="000000"/>
          <w:sz w:val="32"/>
          <w:szCs w:val="32"/>
          <w:lang w:val="en-US" w:eastAsia="zh-CN"/>
        </w:rPr>
        <w:t>0.03</w:t>
      </w:r>
      <w:r>
        <w:rPr>
          <w:rFonts w:hint="eastAsia" w:ascii="仿宋_GB2312" w:eastAsia="仿宋_GB2312"/>
          <w:color w:val="000000"/>
          <w:sz w:val="32"/>
          <w:szCs w:val="32"/>
        </w:rPr>
        <w:t>万元，下降</w:t>
      </w:r>
      <w:r>
        <w:rPr>
          <w:rFonts w:hint="eastAsia" w:ascii="仿宋_GB2312"/>
          <w:color w:val="000000"/>
          <w:sz w:val="32"/>
          <w:szCs w:val="32"/>
          <w:lang w:val="en-US" w:eastAsia="zh-CN"/>
        </w:rPr>
        <w:t>0.4</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lang w:eastAsia="zh-CN"/>
        </w:rPr>
        <w:t>厉行节俭，减少不必要的公车出行</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万元，越野车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color w:val="000000"/>
          <w:sz w:val="32"/>
          <w:szCs w:val="32"/>
          <w:lang w:eastAsia="zh-CN"/>
        </w:rPr>
        <w:t>公务出行</w:t>
      </w: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color w:val="000000"/>
          <w:sz w:val="32"/>
          <w:szCs w:val="32"/>
          <w:lang w:val="en-US" w:eastAsia="zh-CN"/>
        </w:rPr>
        <w:t>1</w:t>
      </w:r>
      <w:r>
        <w:rPr>
          <w:rFonts w:hint="eastAsia" w:ascii="仿宋_GB2312" w:eastAsia="仿宋_GB2312"/>
          <w:color w:val="000000"/>
          <w:sz w:val="32"/>
          <w:szCs w:val="32"/>
        </w:rPr>
        <w:t>辆、越野车</w:t>
      </w:r>
      <w:r>
        <w:rPr>
          <w:rFonts w:hint="eastAsia" w:ascii="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color w:val="000000"/>
          <w:sz w:val="32"/>
          <w:szCs w:val="32"/>
          <w:lang w:val="en-US" w:eastAsia="zh-CN"/>
        </w:rPr>
        <w:t>6.91</w:t>
      </w:r>
      <w:r>
        <w:rPr>
          <w:rFonts w:hint="eastAsia" w:ascii="仿宋_GB2312" w:eastAsia="仿宋_GB2312"/>
          <w:color w:val="000000"/>
          <w:sz w:val="32"/>
          <w:szCs w:val="32"/>
        </w:rPr>
        <w:t>万元。主要用于公务用车燃料费、维修费、过路过桥费、保险费等支出。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color w:val="000000"/>
          <w:sz w:val="32"/>
          <w:szCs w:val="32"/>
          <w:lang w:val="en-US" w:eastAsia="zh-CN"/>
        </w:rPr>
        <w:t>3.71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color w:val="000000"/>
          <w:sz w:val="32"/>
          <w:szCs w:val="32"/>
          <w:lang w:val="en-US" w:eastAsia="zh-CN"/>
        </w:rPr>
        <w:t>20</w:t>
      </w:r>
      <w:r>
        <w:rPr>
          <w:rFonts w:hint="eastAsia" w:ascii="仿宋_GB2312" w:eastAsia="仿宋_GB2312"/>
          <w:color w:val="000000"/>
          <w:sz w:val="32"/>
          <w:szCs w:val="32"/>
        </w:rPr>
        <w:t>年减少</w:t>
      </w:r>
      <w:r>
        <w:rPr>
          <w:rFonts w:hint="eastAsia" w:ascii="仿宋_GB2312"/>
          <w:color w:val="000000"/>
          <w:sz w:val="32"/>
          <w:szCs w:val="32"/>
          <w:lang w:val="en-US" w:eastAsia="zh-CN"/>
        </w:rPr>
        <w:t>0.17</w:t>
      </w:r>
      <w:r>
        <w:rPr>
          <w:rFonts w:hint="eastAsia" w:ascii="仿宋_GB2312" w:eastAsia="仿宋_GB2312"/>
          <w:color w:val="000000"/>
          <w:sz w:val="32"/>
          <w:szCs w:val="32"/>
        </w:rPr>
        <w:t>万元，下降</w:t>
      </w:r>
      <w:r>
        <w:rPr>
          <w:rFonts w:hint="eastAsia" w:ascii="仿宋_GB2312"/>
          <w:color w:val="000000"/>
          <w:sz w:val="32"/>
          <w:szCs w:val="32"/>
          <w:lang w:val="en-US" w:eastAsia="zh-CN"/>
        </w:rPr>
        <w:t>4.58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lang w:eastAsia="zh-CN"/>
        </w:rPr>
        <w:t>厉行节俭，减少行政运行的支出</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3.71</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color w:val="000000"/>
          <w:sz w:val="32"/>
          <w:szCs w:val="32"/>
          <w:lang w:val="en-US" w:eastAsia="zh-CN"/>
        </w:rPr>
        <w:t>38</w:t>
      </w:r>
      <w:r>
        <w:rPr>
          <w:rFonts w:hint="eastAsia" w:ascii="仿宋_GB2312" w:eastAsia="仿宋_GB2312"/>
          <w:color w:val="000000"/>
          <w:sz w:val="32"/>
          <w:szCs w:val="32"/>
        </w:rPr>
        <w:t>批次，</w:t>
      </w:r>
      <w:r>
        <w:rPr>
          <w:rFonts w:hint="eastAsia" w:ascii="仿宋_GB2312"/>
          <w:color w:val="000000"/>
          <w:sz w:val="32"/>
          <w:szCs w:val="32"/>
          <w:lang w:val="en-US" w:eastAsia="zh-CN"/>
        </w:rPr>
        <w:t>388</w:t>
      </w:r>
      <w:r>
        <w:rPr>
          <w:rFonts w:hint="eastAsia" w:ascii="仿宋_GB2312" w:eastAsia="仿宋_GB2312"/>
          <w:color w:val="000000"/>
          <w:sz w:val="32"/>
          <w:szCs w:val="32"/>
        </w:rPr>
        <w:t>人次（不包括陪同人员），共计支出</w:t>
      </w:r>
      <w:r>
        <w:rPr>
          <w:rFonts w:hint="eastAsia" w:ascii="仿宋_GB2312"/>
          <w:color w:val="000000"/>
          <w:sz w:val="32"/>
          <w:szCs w:val="32"/>
          <w:lang w:val="en-US" w:eastAsia="zh-CN"/>
        </w:rPr>
        <w:t>3.71</w:t>
      </w:r>
      <w:r>
        <w:rPr>
          <w:rFonts w:hint="eastAsia" w:ascii="仿宋_GB2312" w:eastAsia="仿宋_GB2312"/>
          <w:color w:val="000000"/>
          <w:sz w:val="32"/>
          <w:szCs w:val="32"/>
        </w:rPr>
        <w:t>万元，具体内容包括：</w:t>
      </w:r>
      <w:r>
        <w:rPr>
          <w:rFonts w:hint="eastAsia" w:ascii="仿宋_GB2312"/>
          <w:szCs w:val="32"/>
        </w:rPr>
        <w:t>接待中央政法委综治信息中心干部</w:t>
      </w:r>
      <w:r>
        <w:rPr>
          <w:rFonts w:hint="eastAsia" w:ascii="仿宋_GB2312"/>
          <w:szCs w:val="32"/>
          <w:lang w:val="en-US" w:eastAsia="zh-CN"/>
        </w:rPr>
        <w:t>2680元</w:t>
      </w:r>
      <w:r>
        <w:rPr>
          <w:rFonts w:hint="eastAsia" w:ascii="仿宋_GB2312"/>
          <w:szCs w:val="32"/>
        </w:rPr>
        <w:t>；接待中央第十四督导组第三工作组</w:t>
      </w:r>
      <w:r>
        <w:rPr>
          <w:rFonts w:hint="eastAsia" w:ascii="仿宋_GB2312"/>
          <w:szCs w:val="32"/>
          <w:lang w:val="en-US" w:eastAsia="zh-CN"/>
        </w:rPr>
        <w:t>4950元</w:t>
      </w:r>
      <w:r>
        <w:rPr>
          <w:rFonts w:hint="eastAsia" w:ascii="仿宋_GB2312"/>
          <w:szCs w:val="32"/>
        </w:rPr>
        <w:t>；接待省委政法委、宜宾、泸州、乐山条线顽瘴痼疾调研餐费</w:t>
      </w:r>
      <w:r>
        <w:rPr>
          <w:rFonts w:hint="eastAsia" w:ascii="仿宋_GB2312"/>
          <w:szCs w:val="32"/>
          <w:lang w:val="en-US" w:eastAsia="zh-CN"/>
        </w:rPr>
        <w:t>3865元</w:t>
      </w:r>
      <w:r>
        <w:rPr>
          <w:rFonts w:hint="eastAsia" w:ascii="仿宋_GB2312"/>
          <w:szCs w:val="32"/>
        </w:rPr>
        <w:t>等</w:t>
      </w:r>
      <w:r>
        <w:rPr>
          <w:rFonts w:hint="eastAsia" w:ascii="仿宋_GB2312" w:eastAsia="仿宋_GB2312"/>
          <w:color w:val="000000"/>
          <w:sz w:val="32"/>
          <w:szCs w:val="32"/>
        </w:rPr>
        <w:t>。</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color w:val="000000"/>
          <w:sz w:val="32"/>
          <w:szCs w:val="32"/>
          <w:lang w:val="en-US" w:eastAsia="zh-CN"/>
        </w:rPr>
        <w:t>0</w:t>
      </w:r>
      <w:r>
        <w:rPr>
          <w:rFonts w:hint="eastAsia" w:ascii="仿宋_GB2312" w:eastAsia="仿宋_GB2312"/>
          <w:color w:val="000000"/>
          <w:sz w:val="32"/>
          <w:szCs w:val="32"/>
        </w:rPr>
        <w:t>万元，主要用于执行公务、开展业务活动开支的交通费、住宿费、用餐费等。</w:t>
      </w:r>
    </w:p>
    <w:p>
      <w:pPr>
        <w:spacing w:line="600" w:lineRule="exact"/>
        <w:ind w:firstLine="640"/>
        <w:outlineLvl w:val="1"/>
        <w:rPr>
          <w:rFonts w:ascii="黑体" w:eastAsia="黑体"/>
          <w:color w:val="000000"/>
          <w:sz w:val="32"/>
          <w:szCs w:val="32"/>
        </w:rPr>
      </w:pPr>
    </w:p>
    <w:p>
      <w:pPr>
        <w:spacing w:line="600" w:lineRule="exact"/>
        <w:ind w:firstLine="640"/>
        <w:outlineLvl w:val="1"/>
        <w:rPr>
          <w:rStyle w:val="17"/>
          <w:rFonts w:ascii="黑体" w:hAnsi="黑体" w:eastAsia="黑体"/>
        </w:rPr>
      </w:pPr>
      <w:bookmarkStart w:id="39" w:name="_Toc10901"/>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37"/>
      <w:bookmarkEnd w:id="38"/>
      <w:bookmarkEnd w:id="39"/>
    </w:p>
    <w:p>
      <w:pPr>
        <w:spacing w:line="600" w:lineRule="exact"/>
        <w:ind w:firstLine="640"/>
        <w:rPr>
          <w:rFonts w:hint="eastAsia" w:ascii="仿宋_GB2312" w:eastAsia="仿宋_GB2312"/>
          <w:color w:val="000000"/>
          <w:sz w:val="32"/>
          <w:szCs w:val="32"/>
          <w:lang w:eastAsia="zh-CN"/>
        </w:rPr>
      </w:pPr>
      <w:r>
        <w:rPr>
          <w:rFonts w:hint="eastAsia" w:ascii="仿宋_GB2312"/>
          <w:color w:val="000000"/>
          <w:szCs w:val="32"/>
          <w:lang w:eastAsia="zh-CN"/>
        </w:rPr>
        <w:t>2021</w:t>
      </w:r>
      <w:r>
        <w:rPr>
          <w:rFonts w:hint="eastAsia" w:ascii="仿宋_GB2312"/>
          <w:color w:val="000000"/>
          <w:szCs w:val="32"/>
        </w:rPr>
        <w:t>年政府性基金预算拨款支出</w:t>
      </w:r>
      <w:r>
        <w:rPr>
          <w:rFonts w:hint="eastAsia" w:ascii="仿宋_GB2312"/>
          <w:color w:val="000000"/>
          <w:szCs w:val="32"/>
          <w:lang w:val="en-US" w:eastAsia="zh-CN"/>
        </w:rPr>
        <w:t>3</w:t>
      </w:r>
      <w:r>
        <w:rPr>
          <w:rFonts w:hint="eastAsia" w:ascii="仿宋_GB2312"/>
          <w:color w:val="000000"/>
          <w:szCs w:val="32"/>
        </w:rPr>
        <w:t>万元</w:t>
      </w:r>
      <w:r>
        <w:rPr>
          <w:rFonts w:hint="eastAsia" w:ascii="仿宋_GB2312"/>
          <w:color w:val="000000"/>
          <w:szCs w:val="32"/>
          <w:lang w:eastAsia="zh-CN"/>
        </w:rPr>
        <w:t>。</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17"/>
          <w:rFonts w:ascii="黑体" w:hAnsi="黑体" w:eastAsia="黑体"/>
          <w:b w:val="0"/>
        </w:rPr>
      </w:pPr>
      <w:bookmarkStart w:id="40" w:name="_Toc15396611"/>
      <w:bookmarkStart w:id="41" w:name="_Toc26293"/>
      <w:bookmarkStart w:id="42" w:name="_Toc15377219"/>
      <w:r>
        <w:rPr>
          <w:rStyle w:val="17"/>
          <w:rFonts w:hint="eastAsia" w:ascii="黑体" w:hAnsi="黑体" w:eastAsia="黑体"/>
          <w:b w:val="0"/>
        </w:rPr>
        <w:t>国有资本经营预算支出决算情况说明</w:t>
      </w:r>
      <w:bookmarkEnd w:id="40"/>
      <w:bookmarkEnd w:id="41"/>
      <w:bookmarkEnd w:id="42"/>
    </w:p>
    <w:p>
      <w:pPr>
        <w:spacing w:line="560" w:lineRule="exact"/>
        <w:ind w:firstLine="640"/>
        <w:rPr>
          <w:rFonts w:ascii="仿宋_GB2312"/>
          <w:color w:val="000000"/>
          <w:szCs w:val="32"/>
        </w:rPr>
      </w:pPr>
      <w:r>
        <w:rPr>
          <w:rFonts w:hint="eastAsia" w:ascii="仿宋_GB2312"/>
          <w:color w:val="000000"/>
          <w:szCs w:val="32"/>
          <w:lang w:eastAsia="zh-CN"/>
        </w:rPr>
        <w:t>2021</w:t>
      </w:r>
      <w:r>
        <w:rPr>
          <w:rFonts w:hint="eastAsia" w:ascii="仿宋_GB2312"/>
          <w:color w:val="000000"/>
          <w:szCs w:val="32"/>
        </w:rPr>
        <w:t>年国有资本经营预算拨款支出0万元。</w:t>
      </w:r>
    </w:p>
    <w:p>
      <w:pPr>
        <w:spacing w:line="600" w:lineRule="exact"/>
        <w:ind w:firstLine="640" w:firstLineChars="200"/>
        <w:outlineLvl w:val="1"/>
        <w:rPr>
          <w:rStyle w:val="17"/>
          <w:rFonts w:ascii="黑体" w:hAnsi="黑体" w:eastAsia="黑体"/>
        </w:rPr>
      </w:pPr>
      <w:bookmarkStart w:id="43" w:name="_Toc15377221"/>
      <w:bookmarkStart w:id="44" w:name="_Toc15396612"/>
      <w:bookmarkStart w:id="45" w:name="_Toc27271"/>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43"/>
      <w:bookmarkEnd w:id="44"/>
      <w:bookmarkEnd w:id="45"/>
    </w:p>
    <w:p>
      <w:pPr>
        <w:spacing w:line="600" w:lineRule="exact"/>
        <w:ind w:firstLine="643" w:firstLineChars="200"/>
        <w:outlineLvl w:val="2"/>
        <w:rPr>
          <w:rFonts w:ascii="仿宋" w:hAnsi="仿宋" w:eastAsia="仿宋"/>
          <w:color w:val="000000"/>
          <w:sz w:val="32"/>
          <w:szCs w:val="32"/>
        </w:rPr>
      </w:pPr>
      <w:bookmarkStart w:id="46" w:name="_Toc15377222"/>
      <w:r>
        <w:rPr>
          <w:rFonts w:hint="eastAsia" w:ascii="仿宋" w:hAnsi="仿宋" w:eastAsia="仿宋"/>
          <w:b/>
          <w:color w:val="000000"/>
          <w:sz w:val="32"/>
          <w:szCs w:val="32"/>
        </w:rPr>
        <w:t>（一）机关运行经费支出情况</w:t>
      </w:r>
      <w:bookmarkEnd w:id="46"/>
    </w:p>
    <w:p>
      <w:pPr>
        <w:spacing w:line="560" w:lineRule="exact"/>
        <w:ind w:firstLine="640" w:firstLineChars="200"/>
        <w:rPr>
          <w:rFonts w:ascii="仿宋_GB2312" w:eastAsia="仿宋_GB2312"/>
          <w:color w:val="000000"/>
          <w:sz w:val="32"/>
          <w:szCs w:val="32"/>
        </w:rPr>
      </w:pPr>
      <w:bookmarkStart w:id="47" w:name="_Toc15377223"/>
      <w:r>
        <w:rPr>
          <w:rFonts w:hint="eastAsia" w:ascii="仿宋_GB2312"/>
          <w:color w:val="000000"/>
          <w:szCs w:val="32"/>
          <w:lang w:eastAsia="zh-CN"/>
        </w:rPr>
        <w:t>2021</w:t>
      </w:r>
      <w:r>
        <w:rPr>
          <w:rFonts w:hint="eastAsia" w:ascii="仿宋_GB2312"/>
          <w:color w:val="000000"/>
          <w:szCs w:val="32"/>
        </w:rPr>
        <w:t>年，市委政法委机关运行经费支出5</w:t>
      </w:r>
      <w:r>
        <w:rPr>
          <w:rFonts w:hint="eastAsia" w:ascii="仿宋_GB2312"/>
          <w:color w:val="000000"/>
          <w:szCs w:val="32"/>
          <w:lang w:val="en-US" w:eastAsia="zh-CN"/>
        </w:rPr>
        <w:t>96.23</w:t>
      </w:r>
      <w:r>
        <w:rPr>
          <w:rFonts w:hint="eastAsia" w:ascii="仿宋_GB2312"/>
          <w:color w:val="000000"/>
          <w:szCs w:val="32"/>
        </w:rPr>
        <w:t>万元，比</w:t>
      </w:r>
      <w:r>
        <w:rPr>
          <w:rFonts w:hint="eastAsia" w:ascii="仿宋_GB2312"/>
          <w:color w:val="000000"/>
          <w:szCs w:val="32"/>
          <w:lang w:eastAsia="zh-CN"/>
        </w:rPr>
        <w:t>2020</w:t>
      </w:r>
      <w:r>
        <w:rPr>
          <w:rFonts w:hint="eastAsia" w:ascii="仿宋_GB2312"/>
          <w:color w:val="000000"/>
          <w:szCs w:val="32"/>
        </w:rPr>
        <w:t>年增加</w:t>
      </w:r>
      <w:r>
        <w:rPr>
          <w:rFonts w:hint="eastAsia" w:ascii="仿宋_GB2312"/>
          <w:color w:val="000000"/>
          <w:szCs w:val="32"/>
          <w:lang w:val="en-US" w:eastAsia="zh-CN"/>
        </w:rPr>
        <w:t>57.44</w:t>
      </w:r>
      <w:r>
        <w:rPr>
          <w:rFonts w:hint="eastAsia" w:ascii="仿宋_GB2312"/>
          <w:color w:val="000000"/>
          <w:szCs w:val="32"/>
        </w:rPr>
        <w:t>万元，增长</w:t>
      </w:r>
      <w:r>
        <w:rPr>
          <w:rFonts w:hint="eastAsia" w:ascii="仿宋_GB2312"/>
          <w:color w:val="000000"/>
          <w:szCs w:val="32"/>
          <w:lang w:val="en-US" w:eastAsia="zh-CN"/>
        </w:rPr>
        <w:t>9.6</w:t>
      </w:r>
      <w:r>
        <w:rPr>
          <w:rFonts w:ascii="仿宋_GB2312"/>
          <w:color w:val="000000"/>
          <w:szCs w:val="32"/>
        </w:rPr>
        <w:t>%</w:t>
      </w:r>
      <w:r>
        <w:rPr>
          <w:rFonts w:hint="eastAsia" w:ascii="仿宋_GB2312"/>
          <w:color w:val="000000"/>
          <w:szCs w:val="32"/>
        </w:rPr>
        <w:t>。</w:t>
      </w:r>
      <w:r>
        <w:rPr>
          <w:rFonts w:hint="eastAsia" w:ascii="仿宋_GB2312" w:eastAsia="仿宋_GB2312"/>
          <w:color w:val="000000"/>
          <w:sz w:val="32"/>
          <w:szCs w:val="32"/>
        </w:rPr>
        <w:t>主要原因是</w:t>
      </w:r>
      <w:r>
        <w:rPr>
          <w:rFonts w:hint="eastAsia" w:ascii="仿宋" w:hAnsi="仿宋" w:eastAsia="仿宋"/>
          <w:color w:val="000000"/>
          <w:szCs w:val="32"/>
          <w:lang w:eastAsia="zh-CN"/>
        </w:rPr>
        <w:t>当年有</w:t>
      </w:r>
      <w:r>
        <w:rPr>
          <w:rFonts w:hint="eastAsia" w:ascii="仿宋" w:hAnsi="仿宋" w:eastAsia="仿宋"/>
          <w:color w:val="000000" w:themeColor="text1"/>
          <w:szCs w:val="32"/>
          <w:lang w:eastAsia="zh-CN"/>
          <w14:textFill>
            <w14:solidFill>
              <w14:schemeClr w14:val="tx1"/>
            </w14:solidFill>
          </w14:textFill>
        </w:rPr>
        <w:t>政法队伍</w:t>
      </w:r>
      <w:r>
        <w:rPr>
          <w:rFonts w:hint="eastAsia" w:ascii="仿宋_GB2312" w:hAnsi="仿宋" w:eastAsia="仿宋"/>
          <w:szCs w:val="32"/>
          <w:lang w:eastAsia="zh-CN"/>
        </w:rPr>
        <w:t>教育整顿新增了预算资金。</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47"/>
    </w:p>
    <w:p>
      <w:pPr>
        <w:spacing w:line="560" w:lineRule="exact"/>
        <w:ind w:firstLine="640" w:firstLineChars="200"/>
        <w:rPr>
          <w:rFonts w:ascii="仿宋_GB2312"/>
          <w:color w:val="000000"/>
          <w:szCs w:val="32"/>
        </w:rPr>
      </w:pPr>
      <w:bookmarkStart w:id="48" w:name="_Toc15377224"/>
      <w:r>
        <w:rPr>
          <w:rFonts w:hint="eastAsia" w:ascii="仿宋_GB2312"/>
          <w:color w:val="000000"/>
          <w:szCs w:val="32"/>
          <w:lang w:eastAsia="zh-CN"/>
        </w:rPr>
        <w:t>2021</w:t>
      </w:r>
      <w:r>
        <w:rPr>
          <w:rFonts w:hint="eastAsia" w:ascii="仿宋_GB2312"/>
          <w:color w:val="000000"/>
          <w:szCs w:val="32"/>
        </w:rPr>
        <w:t>年，市委政法委员会政府采购支出总额0万元，其中：政府采购货物支出0万元、政府采购工程支出0万元、政府采购服务支出0万元。主要用于日常办公、项目建设。授予中小企业合同金额0万元，占政府采购支出总额的0</w:t>
      </w:r>
      <w:r>
        <w:rPr>
          <w:rFonts w:ascii="仿宋_GB2312"/>
          <w:color w:val="000000"/>
          <w:szCs w:val="32"/>
        </w:rPr>
        <w:t>%</w:t>
      </w:r>
      <w:r>
        <w:rPr>
          <w:rFonts w:hint="eastAsia" w:ascii="仿宋_GB2312"/>
          <w:color w:val="000000"/>
          <w:szCs w:val="32"/>
        </w:rPr>
        <w:t>，其中：授予小微企业合同金额0万元，占政府采购支出总额的0</w:t>
      </w:r>
      <w:r>
        <w:rPr>
          <w:rFonts w:ascii="仿宋_GB2312"/>
          <w:color w:val="000000"/>
          <w:szCs w:val="32"/>
        </w:rPr>
        <w:t>%</w:t>
      </w:r>
      <w:r>
        <w:rPr>
          <w:rFonts w:hint="eastAsia" w:ascii="仿宋_GB2312"/>
          <w:color w:val="000000"/>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48"/>
    </w:p>
    <w:p>
      <w:pPr>
        <w:autoSpaceDE w:val="0"/>
        <w:autoSpaceDN w:val="0"/>
        <w:adjustRightInd w:val="0"/>
        <w:spacing w:line="560" w:lineRule="exact"/>
        <w:ind w:firstLine="640" w:firstLineChars="200"/>
        <w:jc w:val="left"/>
        <w:rPr>
          <w:rFonts w:ascii="仿宋" w:hAnsi="仿宋" w:eastAsia="仿宋"/>
          <w:b/>
          <w:color w:val="FF0000"/>
          <w:szCs w:val="32"/>
        </w:rPr>
      </w:pPr>
      <w:r>
        <w:rPr>
          <w:rFonts w:hint="eastAsia" w:ascii="仿宋_GB2312"/>
          <w:color w:val="000000"/>
          <w:szCs w:val="32"/>
        </w:rPr>
        <w:t>截至</w:t>
      </w:r>
      <w:r>
        <w:rPr>
          <w:rFonts w:hint="eastAsia" w:ascii="仿宋_GB2312"/>
          <w:color w:val="000000"/>
          <w:szCs w:val="32"/>
          <w:lang w:eastAsia="zh-CN"/>
        </w:rPr>
        <w:t>2021</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31</w:t>
      </w:r>
      <w:r>
        <w:rPr>
          <w:rFonts w:hint="eastAsia" w:ascii="仿宋_GB2312"/>
          <w:color w:val="000000"/>
          <w:szCs w:val="32"/>
        </w:rPr>
        <w:t>日，市委政法委共有车辆1辆，其中：主要领导干部用车1辆、机要通信用车0辆，单价</w:t>
      </w:r>
      <w:r>
        <w:rPr>
          <w:rFonts w:ascii="仿宋_GB2312"/>
          <w:color w:val="000000"/>
          <w:szCs w:val="32"/>
        </w:rPr>
        <w:t>50</w:t>
      </w:r>
      <w:r>
        <w:rPr>
          <w:rFonts w:hint="eastAsia" w:ascii="仿宋_GB2312"/>
          <w:color w:val="000000"/>
          <w:szCs w:val="32"/>
        </w:rPr>
        <w:t>万元以上通用设备0台（套），单价</w:t>
      </w:r>
      <w:r>
        <w:rPr>
          <w:rFonts w:ascii="仿宋_GB2312"/>
          <w:color w:val="000000"/>
          <w:szCs w:val="32"/>
        </w:rPr>
        <w:t>100</w:t>
      </w:r>
      <w:r>
        <w:rPr>
          <w:rFonts w:hint="eastAsia" w:ascii="仿宋_GB2312"/>
          <w:color w:val="000000"/>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根据预算绩效管理要求，本部门（单位）在年初预算编制阶段，组织对</w:t>
      </w:r>
      <w:r>
        <w:rPr>
          <w:rFonts w:hint="eastAsia" w:ascii="仿宋_GB2312" w:hAnsi="仿宋_GB2312" w:cs="仿宋_GB2312"/>
          <w:color w:val="000000"/>
          <w:szCs w:val="32"/>
        </w:rPr>
        <w:t>网格化管理</w:t>
      </w:r>
      <w:r>
        <w:rPr>
          <w:rFonts w:hint="eastAsia" w:ascii="仿宋_GB2312" w:hAnsi="仿宋_GB2312" w:cs="仿宋_GB2312"/>
          <w:szCs w:val="32"/>
        </w:rPr>
        <w:t>项目开展了预算事前绩效评估，对1个项目编制了绩效目标，预算执行过程中，选取1个项目开展绩效监控，年终执行完毕后，对1个项目开展了绩效目标完成情况自评。</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本部门按要求对</w:t>
      </w:r>
      <w:r>
        <w:rPr>
          <w:rFonts w:hint="eastAsia" w:ascii="仿宋_GB2312" w:hAnsi="仿宋_GB2312" w:cs="仿宋_GB2312"/>
          <w:szCs w:val="32"/>
          <w:lang w:eastAsia="zh-CN"/>
        </w:rPr>
        <w:t>2021</w:t>
      </w:r>
      <w:r>
        <w:rPr>
          <w:rFonts w:hint="eastAsia" w:ascii="仿宋_GB2312" w:hAnsi="仿宋_GB2312" w:cs="仿宋_GB2312"/>
          <w:szCs w:val="32"/>
        </w:rPr>
        <w:t>年部门整体支出开展绩效自评，从评价情况来看预算事前绩效评价开展有效，执行严格，达到了预期效果。本部门还自行组织了1个项目支出绩效评价，从评价情况来看预算事前绩效评价开展有效，执行严格，达到了预期效果。</w:t>
      </w:r>
    </w:p>
    <w:p>
      <w:pPr>
        <w:spacing w:line="560" w:lineRule="exact"/>
        <w:ind w:firstLine="640" w:firstLineChars="200"/>
        <w:rPr>
          <w:rFonts w:ascii="仿宋_GB2312" w:hAnsi="仿宋_GB2312" w:cs="仿宋_GB2312"/>
          <w:szCs w:val="32"/>
        </w:rPr>
      </w:pPr>
      <w:r>
        <w:rPr>
          <w:rFonts w:hint="eastAsia" w:ascii="楷体_GB2312" w:hAnsi="楷体_GB2312" w:eastAsia="楷体_GB2312" w:cs="楷体_GB2312"/>
          <w:szCs w:val="32"/>
        </w:rPr>
        <w:t>1.项目绩效目标完成情况。</w:t>
      </w:r>
      <w:r>
        <w:rPr>
          <w:rFonts w:hint="eastAsia" w:ascii="楷体_GB2312" w:hAnsi="楷体_GB2312" w:eastAsia="楷体_GB2312" w:cs="楷体_GB2312"/>
          <w:szCs w:val="32"/>
        </w:rPr>
        <w:br w:type="textWrapping"/>
      </w:r>
      <w:r>
        <w:rPr>
          <w:rFonts w:hint="eastAsia" w:ascii="仿宋_GB2312" w:hAnsi="仿宋_GB2312" w:cs="仿宋_GB2312"/>
          <w:szCs w:val="32"/>
        </w:rPr>
        <w:t xml:space="preserve">    本部门在</w:t>
      </w:r>
      <w:r>
        <w:rPr>
          <w:rFonts w:hint="eastAsia" w:ascii="仿宋_GB2312" w:hAnsi="仿宋_GB2312" w:cs="仿宋_GB2312"/>
          <w:szCs w:val="32"/>
          <w:lang w:eastAsia="zh-CN"/>
        </w:rPr>
        <w:t>2021</w:t>
      </w:r>
      <w:r>
        <w:rPr>
          <w:rFonts w:hint="eastAsia" w:ascii="仿宋_GB2312" w:hAnsi="仿宋_GB2312" w:cs="仿宋_GB2312"/>
          <w:szCs w:val="32"/>
        </w:rPr>
        <w:t>年度部门决算中反映“公共安全视频监控建设联网应用项目”等项目绩效目标实际完成情况。</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（1）网格化管理绩效目标完成情况综述。项目全年预算数6.25万元，执行数为6.25万元，完成预算的</w:t>
      </w:r>
      <w:r>
        <w:rPr>
          <w:rFonts w:ascii="仿宋_GB2312" w:hAnsi="仿宋_GB2312" w:cs="仿宋_GB2312"/>
          <w:color w:val="000000"/>
          <w:szCs w:val="32"/>
        </w:rPr>
        <w:t>100%</w:t>
      </w:r>
      <w:r>
        <w:rPr>
          <w:rFonts w:hint="eastAsia" w:ascii="仿宋_GB2312" w:hAnsi="仿宋_GB2312" w:cs="仿宋_GB2312"/>
          <w:color w:val="000000"/>
          <w:szCs w:val="32"/>
        </w:rPr>
        <w:t>。通过项目实施，实现不同部门机关、不同业务之间安全高速的数据共享，尽可能的简化办公流程，提高办公效率。</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（2）长安网及大调解信息网络建设绩效目标完成情况综述。全年预算数9万元，执行数为9万元，完成预算的</w:t>
      </w:r>
      <w:r>
        <w:rPr>
          <w:rFonts w:ascii="仿宋_GB2312" w:hAnsi="仿宋_GB2312" w:cs="仿宋_GB2312"/>
          <w:color w:val="000000"/>
          <w:szCs w:val="32"/>
        </w:rPr>
        <w:t>100%</w:t>
      </w:r>
      <w:r>
        <w:rPr>
          <w:rFonts w:hint="eastAsia" w:ascii="仿宋_GB2312" w:hAnsi="仿宋_GB2312" w:cs="仿宋_GB2312"/>
          <w:color w:val="000000"/>
          <w:szCs w:val="32"/>
        </w:rPr>
        <w:t>。加强了自贡政法舆论宣传工作建设和大调解信息系统建设。</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（3）多元化解工作绩效目标完成情况综述。全年预算数7.7万元，执行数为7.7万元，完成预算的</w:t>
      </w:r>
      <w:r>
        <w:rPr>
          <w:rFonts w:ascii="仿宋_GB2312" w:hAnsi="仿宋_GB2312" w:cs="仿宋_GB2312"/>
          <w:color w:val="000000"/>
          <w:szCs w:val="32"/>
        </w:rPr>
        <w:t>100%</w:t>
      </w:r>
      <w:r>
        <w:rPr>
          <w:rFonts w:hint="eastAsia" w:ascii="仿宋_GB2312" w:hAnsi="仿宋_GB2312" w:cs="仿宋_GB2312"/>
          <w:color w:val="000000"/>
          <w:szCs w:val="32"/>
        </w:rPr>
        <w:t>。保障推动“调解跟着醒目走”、“调解跟着矛盾走”、突出重点领域专业调解，依法规范和健全“全覆盖”的调解组织及调处机制。进一步完善多元化解矛盾纠纷机制建设。</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（4）平安建设专项经费绩效目标完成情况综述。全年预算数9万元，执行数为9万元，完成预算的</w:t>
      </w:r>
      <w:r>
        <w:rPr>
          <w:rFonts w:ascii="仿宋_GB2312" w:hAnsi="仿宋_GB2312" w:cs="仿宋_GB2312"/>
          <w:color w:val="000000"/>
          <w:szCs w:val="32"/>
        </w:rPr>
        <w:t>100%</w:t>
      </w:r>
      <w:r>
        <w:rPr>
          <w:rFonts w:hint="eastAsia" w:ascii="仿宋_GB2312" w:hAnsi="仿宋_GB2312" w:cs="仿宋_GB2312"/>
          <w:color w:val="000000"/>
          <w:szCs w:val="32"/>
        </w:rPr>
        <w:t>。保障推进全国综治优秀市创建，加强平安自贡建设，确保全市社会大局稳定。</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（5）扫黑除恶专项斗争工作绩效目标完成情况综述。全年预算数</w:t>
      </w:r>
      <w:r>
        <w:rPr>
          <w:rFonts w:hint="eastAsia" w:ascii="仿宋_GB2312" w:hAnsi="仿宋_GB2312" w:cs="仿宋_GB2312"/>
          <w:color w:val="000000"/>
          <w:szCs w:val="32"/>
          <w:lang w:val="en-US" w:eastAsia="zh-CN"/>
        </w:rPr>
        <w:t>40</w:t>
      </w:r>
      <w:r>
        <w:rPr>
          <w:rFonts w:hint="eastAsia" w:ascii="仿宋_GB2312" w:hAnsi="仿宋_GB2312" w:cs="仿宋_GB2312"/>
          <w:color w:val="000000"/>
          <w:szCs w:val="32"/>
        </w:rPr>
        <w:t>万元，执行数为</w:t>
      </w:r>
      <w:r>
        <w:rPr>
          <w:rFonts w:hint="eastAsia" w:ascii="仿宋_GB2312" w:hAnsi="仿宋_GB2312" w:cs="仿宋_GB2312"/>
          <w:color w:val="000000"/>
          <w:szCs w:val="32"/>
          <w:lang w:val="en-US" w:eastAsia="zh-CN"/>
        </w:rPr>
        <w:t>40</w:t>
      </w:r>
      <w:r>
        <w:rPr>
          <w:rFonts w:hint="eastAsia" w:ascii="仿宋_GB2312" w:hAnsi="仿宋_GB2312" w:cs="仿宋_GB2312"/>
          <w:color w:val="000000"/>
          <w:szCs w:val="32"/>
        </w:rPr>
        <w:t>万元，完成预算的</w:t>
      </w:r>
      <w:r>
        <w:rPr>
          <w:rFonts w:ascii="仿宋_GB2312" w:hAnsi="仿宋_GB2312" w:cs="仿宋_GB2312"/>
          <w:color w:val="000000"/>
          <w:szCs w:val="32"/>
        </w:rPr>
        <w:t>100%</w:t>
      </w:r>
      <w:r>
        <w:rPr>
          <w:rFonts w:hint="eastAsia" w:ascii="仿宋_GB2312" w:hAnsi="仿宋_GB2312" w:cs="仿宋_GB2312"/>
          <w:color w:val="000000"/>
          <w:szCs w:val="32"/>
        </w:rPr>
        <w:t>。纵深推进扫黑除恶专项斗争，增强人民群众获得感、幸福感、安全感。</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pPr>
    </w:p>
    <w:p>
      <w:pPr>
        <w:rPr>
          <w:rStyle w:val="16"/>
          <w:rFonts w:ascii="黑体" w:hAnsi="黑体" w:eastAsia="黑体"/>
          <w:b w:val="0"/>
        </w:rPr>
      </w:pPr>
      <w:bookmarkStart w:id="49" w:name="_Toc21676"/>
      <w:bookmarkStart w:id="50" w:name="_Toc15377225"/>
      <w:bookmarkStart w:id="51" w:name="_Toc15396613"/>
      <w:r>
        <w:rPr>
          <w:rFonts w:hint="eastAsia" w:ascii="黑体" w:hAnsi="黑体" w:eastAsia="黑体"/>
          <w:color w:val="000000"/>
          <w:sz w:val="44"/>
          <w:szCs w:val="44"/>
        </w:rPr>
        <w:br w:type="page"/>
      </w:r>
    </w:p>
    <w:p>
      <w:pPr>
        <w:numPr>
          <w:ilvl w:val="0"/>
          <w:numId w:val="4"/>
        </w:numPr>
        <w:spacing w:line="600" w:lineRule="exact"/>
        <w:ind w:firstLine="660" w:firstLineChars="150"/>
        <w:jc w:val="center"/>
        <w:outlineLvl w:val="0"/>
        <w:rPr>
          <w:rStyle w:val="16"/>
          <w:rFonts w:ascii="黑体" w:hAnsi="黑体" w:eastAsia="黑体"/>
          <w:b w:val="0"/>
        </w:rPr>
      </w:pPr>
      <w:r>
        <w:rPr>
          <w:rFonts w:hint="eastAsia" w:ascii="黑体" w:hAnsi="黑体" w:eastAsia="黑体"/>
          <w:color w:val="000000"/>
          <w:sz w:val="44"/>
          <w:szCs w:val="44"/>
        </w:rPr>
        <w:t>名</w:t>
      </w:r>
      <w:r>
        <w:rPr>
          <w:rStyle w:val="16"/>
          <w:rFonts w:hint="eastAsia" w:ascii="黑体" w:hAnsi="黑体" w:eastAsia="黑体"/>
          <w:b w:val="0"/>
        </w:rPr>
        <w:t>词解释</w:t>
      </w:r>
      <w:bookmarkEnd w:id="49"/>
      <w:bookmarkEnd w:id="50"/>
      <w:bookmarkEnd w:id="51"/>
    </w:p>
    <w:p>
      <w:pPr>
        <w:spacing w:line="600" w:lineRule="exact"/>
        <w:jc w:val="left"/>
        <w:rPr>
          <w:rFonts w:ascii="宋体"/>
          <w:b/>
          <w:color w:val="000000"/>
          <w:sz w:val="44"/>
          <w:szCs w:val="44"/>
        </w:rPr>
      </w:pPr>
    </w:p>
    <w:p>
      <w:pPr>
        <w:pStyle w:val="19"/>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spacing w:line="600" w:lineRule="exact"/>
        <w:jc w:val="center"/>
        <w:outlineLvl w:val="0"/>
        <w:rPr>
          <w:rFonts w:hint="eastAsia" w:ascii="黑体" w:hAnsi="黑体" w:eastAsia="黑体"/>
          <w:color w:val="000000"/>
          <w:sz w:val="44"/>
          <w:szCs w:val="44"/>
        </w:rPr>
      </w:pPr>
      <w:bookmarkStart w:id="52" w:name="_Toc15396614"/>
      <w:bookmarkStart w:id="53" w:name="_Toc6879"/>
      <w:bookmarkStart w:id="54" w:name="_Toc15377226"/>
    </w:p>
    <w:p>
      <w:pPr>
        <w:spacing w:line="600" w:lineRule="exact"/>
        <w:jc w:val="center"/>
        <w:outlineLvl w:val="0"/>
        <w:rPr>
          <w:rStyle w:val="16"/>
          <w:rFonts w:ascii="黑体" w:hAnsi="黑体" w:eastAsia="黑体"/>
          <w:b w:val="0"/>
        </w:rPr>
      </w:pPr>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2"/>
      <w:bookmarkEnd w:id="53"/>
    </w:p>
    <w:p>
      <w:pPr>
        <w:spacing w:line="600" w:lineRule="exact"/>
        <w:jc w:val="left"/>
        <w:outlineLvl w:val="1"/>
        <w:rPr>
          <w:rFonts w:hint="eastAsia" w:ascii="黑体" w:hAnsi="黑体" w:eastAsia="黑体" w:cs="黑体"/>
          <w:sz w:val="32"/>
          <w:szCs w:val="32"/>
        </w:rPr>
      </w:pPr>
      <w:bookmarkStart w:id="55" w:name="_Toc18966"/>
      <w:r>
        <w:rPr>
          <w:rFonts w:hint="eastAsia" w:ascii="黑体" w:hAnsi="黑体" w:eastAsia="黑体" w:cs="黑体"/>
          <w:sz w:val="32"/>
          <w:szCs w:val="32"/>
        </w:rPr>
        <w:t>附件</w:t>
      </w:r>
      <w:bookmarkEnd w:id="55"/>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884"/>
        <w:gridCol w:w="249"/>
        <w:gridCol w:w="1479"/>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ind w:firstLine="960" w:firstLineChars="300"/>
              <w:jc w:val="left"/>
              <w:rPr>
                <w:rFonts w:ascii="宋体" w:hAnsi="宋体" w:eastAsia="宋体" w:cs="宋体"/>
                <w:b/>
                <w:bCs/>
                <w:kern w:val="0"/>
                <w:szCs w:val="30"/>
              </w:rPr>
            </w:pPr>
            <w:r>
              <w:rPr>
                <w:rFonts w:hint="eastAsia" w:eastAsia="方正小标宋简体"/>
                <w:bCs/>
                <w:color w:val="000000"/>
                <w:kern w:val="0"/>
                <w:lang w:val="en-US" w:eastAsia="zh-CN"/>
              </w:rPr>
              <w:t xml:space="preserve">       </w:t>
            </w:r>
            <w:r>
              <w:rPr>
                <w:rFonts w:hint="eastAsia" w:eastAsia="方正小标宋简体"/>
                <w:bCs/>
                <w:color w:val="000000"/>
                <w:kern w:val="0"/>
                <w:sz w:val="30"/>
                <w:szCs w:val="30"/>
              </w:rPr>
              <w:t>市级项目支出绩效自评表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扫黑除恶专项</w:t>
            </w:r>
          </w:p>
        </w:tc>
      </w:tr>
      <w:tr>
        <w:tblPrEx>
          <w:tblCellMar>
            <w:top w:w="0" w:type="dxa"/>
            <w:left w:w="108" w:type="dxa"/>
            <w:bottom w:w="0" w:type="dxa"/>
            <w:right w:w="108" w:type="dxa"/>
          </w:tblCellMar>
        </w:tblPrEx>
        <w:trPr>
          <w:trHeight w:val="562"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631"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gridSpan w:val="2"/>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ab/>
            </w:r>
            <w:r>
              <w:rPr>
                <w:rFonts w:hint="eastAsia" w:ascii="宋体" w:hAnsi="宋体" w:eastAsia="宋体" w:cs="宋体"/>
                <w:kern w:val="0"/>
                <w:sz w:val="18"/>
                <w:szCs w:val="18"/>
                <w:lang w:val="en-US" w:eastAsia="zh-CN"/>
              </w:rPr>
              <w:t>40</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gridSpan w:val="2"/>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40</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845"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纵深推进扫黑除恶专项斗争，切实整改央督反馈问题，确保取得更大实效。</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纵深推进扫黑除恶专项斗争，切实整改央督反馈问题，确保取得更大实效。</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7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9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6"/>
              </w:rPr>
              <w:t>　完成数量</w:t>
            </w:r>
          </w:p>
        </w:tc>
        <w:tc>
          <w:tcPr>
            <w:tcW w:w="1728" w:type="dxa"/>
            <w:gridSpan w:val="2"/>
            <w:tcBorders>
              <w:top w:val="nil"/>
              <w:left w:val="nil"/>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侦办一批黑社会性质组织犯罪案、恶势力犯罪案件。</w:t>
            </w:r>
          </w:p>
        </w:tc>
        <w:tc>
          <w:tcPr>
            <w:tcW w:w="1166" w:type="dxa"/>
            <w:gridSpan w:val="2"/>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　全市公安机关侦办黑社会性质组织犯罪案4件、恶势力犯罪集团和团伙案件</w:t>
            </w:r>
            <w:r>
              <w:rPr>
                <w:rFonts w:hint="eastAsia" w:ascii="宋体" w:hAnsi="宋体" w:eastAsia="宋体" w:cs="宋体"/>
                <w:kern w:val="0"/>
                <w:sz w:val="16"/>
                <w:lang w:val="en-US" w:eastAsia="zh-CN"/>
              </w:rPr>
              <w:t>35</w:t>
            </w:r>
            <w:r>
              <w:rPr>
                <w:rFonts w:hint="eastAsia" w:ascii="宋体" w:hAnsi="宋体" w:eastAsia="宋体" w:cs="宋体"/>
                <w:kern w:val="0"/>
                <w:sz w:val="16"/>
              </w:rPr>
              <w:t>件。</w:t>
            </w:r>
          </w:p>
        </w:tc>
        <w:tc>
          <w:tcPr>
            <w:tcW w:w="522" w:type="dxa"/>
            <w:gridSpan w:val="2"/>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48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6"/>
              </w:rPr>
              <w:t>完成质量</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tabs>
                <w:tab w:val="center" w:pos="966"/>
              </w:tabs>
              <w:spacing w:line="240" w:lineRule="exact"/>
              <w:ind w:firstLine="360" w:firstLineChars="2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ab/>
            </w:r>
            <w:r>
              <w:rPr>
                <w:rFonts w:hint="eastAsia" w:ascii="宋体" w:hAnsi="宋体" w:eastAsia="宋体" w:cs="宋体"/>
                <w:kern w:val="0"/>
                <w:sz w:val="16"/>
              </w:rPr>
              <w:t>梳理排查出行业系统的乱点乱象</w:t>
            </w:r>
          </w:p>
          <w:p>
            <w:pPr>
              <w:widowControl/>
              <w:spacing w:line="240" w:lineRule="exact"/>
              <w:jc w:val="center"/>
              <w:rPr>
                <w:rFonts w:ascii="宋体" w:hAnsi="宋体" w:eastAsia="宋体" w:cs="宋体"/>
                <w:kern w:val="0"/>
                <w:sz w:val="18"/>
                <w:szCs w:val="18"/>
              </w:rPr>
            </w:pP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　各行业主管部门全面开展“十大重点行业领域”和重点地区整治。</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29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6"/>
              </w:rPr>
              <w:t>时效</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6"/>
              </w:rPr>
              <w:t>高效、快速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通过严厉打击黑恶犯罪，专项斗争形成压倒性态势。</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5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6"/>
              </w:rPr>
              <w:t>经济效益</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6"/>
              </w:rPr>
              <w:t>提供良好的营商环境</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6"/>
              </w:rPr>
              <w:t>　</w:t>
            </w:r>
            <w:r>
              <w:rPr>
                <w:rFonts w:hint="eastAsia" w:ascii="宋体" w:hAnsi="宋体" w:eastAsia="宋体" w:cs="宋体"/>
                <w:kern w:val="0"/>
                <w:sz w:val="16"/>
              </w:rPr>
              <w:t>我市社会治安好转情况排在全省第二，社会秩序好转情况、社会风气好转情况分别排在全省第四、第三。</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0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613" w:type="dxa"/>
            <w:gridSpan w:val="2"/>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达到97.5%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p>
        </w:tc>
      </w:tr>
    </w:tbl>
    <w:p>
      <w:pPr>
        <w:widowControl/>
        <w:spacing w:line="240" w:lineRule="exact"/>
        <w:ind w:firstLine="1800" w:firstLineChars="10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eastAsia="方正小标宋简体"/>
                <w:bCs/>
                <w:color w:val="000000"/>
                <w:kern w:val="0"/>
                <w:sz w:val="30"/>
                <w:szCs w:val="30"/>
              </w:rPr>
              <w:t>市级项目支出绩效自评表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平安创建、见义勇为、群防群治专项</w:t>
            </w:r>
          </w:p>
        </w:tc>
      </w:tr>
      <w:tr>
        <w:tblPrEx>
          <w:tblCellMar>
            <w:top w:w="0" w:type="dxa"/>
            <w:left w:w="108" w:type="dxa"/>
            <w:bottom w:w="0" w:type="dxa"/>
            <w:right w:w="108" w:type="dxa"/>
          </w:tblCellMar>
        </w:tblPrEx>
        <w:trPr>
          <w:trHeight w:val="645"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562"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ab/>
            </w:r>
            <w:r>
              <w:rPr>
                <w:rFonts w:hint="eastAsia" w:ascii="宋体" w:hAnsi="宋体" w:eastAsia="宋体" w:cs="宋体"/>
                <w:kern w:val="0"/>
                <w:sz w:val="18"/>
                <w:szCs w:val="18"/>
                <w:lang w:val="en-US" w:eastAsia="zh-CN"/>
              </w:rPr>
              <w:t>9</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709"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广泛开展平安建设宣传，提高群众知晓率和满意率，严格落实综治领导责任。</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广泛开展平安建设宣传，提高群众知晓率和满意率，严格落实综治领导责任。</w:t>
            </w:r>
          </w:p>
        </w:tc>
      </w:tr>
      <w:tr>
        <w:tblPrEx>
          <w:tblCellMar>
            <w:top w:w="0" w:type="dxa"/>
            <w:left w:w="108" w:type="dxa"/>
            <w:bottom w:w="0" w:type="dxa"/>
            <w:right w:w="108" w:type="dxa"/>
          </w:tblCellMar>
        </w:tblPrEx>
        <w:trPr>
          <w:trHeight w:val="750"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285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6"/>
              </w:rPr>
              <w:t>　宣传次数</w:t>
            </w:r>
          </w:p>
        </w:tc>
        <w:tc>
          <w:tcPr>
            <w:tcW w:w="1196" w:type="dxa"/>
            <w:vMerge w:val="restart"/>
            <w:tcBorders>
              <w:top w:val="nil"/>
              <w:left w:val="nil"/>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6"/>
              </w:rPr>
              <w:t>优化阵地建设，打造“妇女之家”，以三创联动推动平安校园，发挥医调委作用，推进平安医院，以荣县高石梯国家公园为重点，创建平安林区等</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ascii="宋体" w:hAnsi="宋体" w:eastAsia="宋体" w:cs="宋体"/>
                <w:color w:val="000000"/>
                <w:kern w:val="0"/>
                <w:sz w:val="16"/>
              </w:rPr>
              <w:t>全市社会治安综合治理工作有序推进，项目化支撑社会建设进入新阶段，社会治安大局持续稳定</w:t>
            </w:r>
            <w:r>
              <w:rPr>
                <w:rFonts w:hint="eastAsia" w:ascii="宋体" w:hAnsi="宋体" w:eastAsia="宋体" w:cs="宋体"/>
                <w:kern w:val="0"/>
                <w:sz w:val="16"/>
              </w:rPr>
              <w:t>　</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5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0</w:t>
            </w: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6"/>
              </w:rPr>
              <w:t>经济效益</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平安林区建设，带动农民致富，促进林业增收，生态良好。</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将荣县高石梯国家公园确定为重点创建单位</w:t>
            </w:r>
            <w:r>
              <w:rPr>
                <w:rFonts w:hint="eastAsia" w:ascii="仿宋_GB2312" w:hAnsi="宋体"/>
                <w:color w:val="000000"/>
                <w:szCs w:val="32"/>
              </w:rPr>
              <w:t>。</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0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6"/>
              </w:rPr>
              <w:t>时效</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6"/>
              </w:rPr>
              <w:t>高效、快速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通过严厉打击黑恶犯罪，专项斗争形成压倒性态势。</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5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完成扫黑除恶工作任务</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lang w:eastAsia="zh-CN"/>
              </w:rPr>
            </w:pPr>
            <w:r>
              <w:rPr>
                <w:rFonts w:hint="eastAsia" w:ascii="宋体" w:hAnsi="宋体" w:eastAsia="宋体" w:cs="宋体"/>
                <w:color w:val="000000"/>
                <w:kern w:val="0"/>
                <w:sz w:val="16"/>
                <w:lang w:eastAsia="zh-CN"/>
              </w:rPr>
              <w:t>年内完成</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lang w:eastAsia="zh-CN"/>
              </w:rPr>
            </w:pPr>
            <w:r>
              <w:rPr>
                <w:rFonts w:hint="eastAsia" w:ascii="宋体" w:hAnsi="宋体" w:eastAsia="宋体" w:cs="宋体"/>
                <w:color w:val="000000"/>
                <w:kern w:val="0"/>
                <w:sz w:val="16"/>
                <w:lang w:eastAsia="zh-CN"/>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46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6"/>
              </w:rPr>
              <w:t>经济效益</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color w:val="000000"/>
                <w:kern w:val="0"/>
                <w:sz w:val="16"/>
              </w:rPr>
              <w:t>平安林区建设，带动农民致富，促进林业增收，生态良好。</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color w:val="000000"/>
                <w:kern w:val="0"/>
                <w:sz w:val="16"/>
              </w:rPr>
              <w:t>将荣县高石梯国家公园确定为重点创建单位</w:t>
            </w:r>
            <w:r>
              <w:rPr>
                <w:rFonts w:hint="eastAsia" w:ascii="仿宋_GB2312" w:hAnsi="宋体"/>
                <w:color w:val="000000"/>
                <w:szCs w:val="32"/>
              </w:rPr>
              <w:t>。</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0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7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达到97.5%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p>
        </w:tc>
      </w:tr>
    </w:tbl>
    <w:p>
      <w:pPr>
        <w:widowControl/>
        <w:spacing w:line="240" w:lineRule="exact"/>
        <w:ind w:firstLine="1800" w:firstLineChars="1000"/>
        <w:rPr>
          <w:rFonts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eastAsia="方正小标宋简体"/>
                <w:bCs/>
                <w:color w:val="000000"/>
                <w:kern w:val="0"/>
                <w:sz w:val="30"/>
                <w:szCs w:val="30"/>
              </w:rPr>
              <w:t>市级项目支出绩效自评表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长安网及大调解信息网络</w:t>
            </w:r>
          </w:p>
        </w:tc>
      </w:tr>
      <w:tr>
        <w:tblPrEx>
          <w:tblCellMar>
            <w:top w:w="0" w:type="dxa"/>
            <w:left w:w="108" w:type="dxa"/>
            <w:bottom w:w="0" w:type="dxa"/>
            <w:right w:w="108" w:type="dxa"/>
          </w:tblCellMar>
        </w:tblPrEx>
        <w:trPr>
          <w:trHeight w:val="576"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ab/>
            </w:r>
            <w:r>
              <w:rPr>
                <w:rFonts w:hint="eastAsia" w:ascii="宋体" w:hAnsi="宋体" w:eastAsia="宋体" w:cs="宋体"/>
                <w:kern w:val="0"/>
                <w:sz w:val="18"/>
                <w:szCs w:val="18"/>
              </w:rPr>
              <w:t>9</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941"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6"/>
              </w:rPr>
              <w:t>自贡市委政法委重要的宣传阵地，市自贡政法工作舆论引导的重要平台，为网友了解自贡政法宣传工作提供窗口。</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自贡市委政法委重要的宣传阵地，市自贡政法工作舆论引导的重要平台，为网友了解自贡政法宣传工作提供窗口。</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6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宣传次数</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25次及以上</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30次</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1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舆论引导</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政法工作舆论引导重要平台</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利用长安网、四川法制报等媒体，重点围绕扫黑除恶、平安创建、社会治理创新、见义勇为等内容开展了系列宣传活动。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70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可持续性</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长期</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利用院坝会、社员大会、坐商动员会、“全民见警”、法治夜校、农民夜校等活动进行平安宣传。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8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达到预定值</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扫除黑恶势力，维护经济秩序。</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年内完成</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69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群众满意度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xml:space="preserve">　切实提高了广大市民对平安建设的知晓度、参与度和满意度。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800" w:firstLineChars="10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77"/>
        <w:gridCol w:w="389"/>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eastAsia="方正小标宋简体"/>
                <w:bCs/>
                <w:color w:val="000000"/>
                <w:kern w:val="0"/>
                <w:sz w:val="30"/>
                <w:szCs w:val="30"/>
              </w:rPr>
              <w:t>市级项目支出绩效自评表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20"/>
              </w:rPr>
            </w:pPr>
            <w:r>
              <w:rPr>
                <w:rFonts w:hint="eastAsia" w:ascii="宋体" w:hAnsi="宋体" w:eastAsia="宋体" w:cs="宋体"/>
                <w:color w:val="000000"/>
                <w:kern w:val="0"/>
                <w:sz w:val="20"/>
              </w:rPr>
              <w:t>　政法三级网</w:t>
            </w:r>
          </w:p>
        </w:tc>
      </w:tr>
      <w:tr>
        <w:tblPrEx>
          <w:tblCellMar>
            <w:top w:w="0" w:type="dxa"/>
            <w:left w:w="108" w:type="dxa"/>
            <w:bottom w:w="0" w:type="dxa"/>
            <w:right w:w="108" w:type="dxa"/>
          </w:tblCellMar>
        </w:tblPrEx>
        <w:trPr>
          <w:trHeight w:val="549"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8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291"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ascii="宋体" w:hAnsi="宋体" w:eastAsia="宋体" w:cs="宋体"/>
                <w:kern w:val="0"/>
                <w:sz w:val="18"/>
                <w:szCs w:val="18"/>
              </w:rPr>
            </w:pPr>
            <w:r>
              <w:rPr>
                <w:rFonts w:hint="eastAsia" w:ascii="宋体" w:hAnsi="宋体" w:eastAsia="宋体" w:cs="宋体"/>
                <w:color w:val="000000"/>
                <w:kern w:val="0"/>
                <w:sz w:val="20"/>
              </w:rPr>
              <w:t>26</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6</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26</w:t>
            </w: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both"/>
              <w:rPr>
                <w:rFonts w:ascii="宋体" w:hAnsi="宋体" w:eastAsia="宋体" w:cs="宋体"/>
                <w:kern w:val="0"/>
                <w:sz w:val="18"/>
                <w:szCs w:val="18"/>
              </w:rPr>
            </w:pPr>
            <w:r>
              <w:rPr>
                <w:rFonts w:hint="eastAsia" w:ascii="宋体" w:hAnsi="宋体" w:eastAsia="宋体" w:cs="宋体"/>
                <w:kern w:val="0"/>
                <w:sz w:val="18"/>
                <w:szCs w:val="18"/>
              </w:rPr>
              <w:t>26</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6</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26</w:t>
            </w: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81"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9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实现不同部门机关、不同业务之间安全高速的数据共享，尽可能的简化办公流程，提高办公效率</w:t>
            </w:r>
            <w:r>
              <w:rPr>
                <w:rFonts w:hint="eastAsia" w:ascii="宋体" w:hAnsi="宋体" w:eastAsia="宋体" w:cs="宋体"/>
                <w:kern w:val="0"/>
                <w:sz w:val="18"/>
                <w:szCs w:val="18"/>
                <w:lang w:eastAsia="zh-CN"/>
              </w:rPr>
              <w:t>。</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实现不同部门机关、不同业务之间安全高速的数据共享，尽可能的简化办公流程，提高办公效率</w:t>
            </w:r>
            <w:r>
              <w:rPr>
                <w:rFonts w:hint="eastAsia" w:ascii="宋体" w:hAnsi="宋体" w:eastAsia="宋体" w:cs="宋体"/>
                <w:kern w:val="0"/>
                <w:sz w:val="18"/>
                <w:szCs w:val="18"/>
                <w:lang w:eastAsia="zh-CN"/>
              </w:rPr>
              <w:t>。</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68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6"/>
              </w:rPr>
              <w:t>　完成数量</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 xml:space="preserve">租用24条20M，mstp专线光纤链路服务，覆盖市和四区政法委及公安局、法院、检察院、司法局等政法部门 </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运行维护正常。</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1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完成率</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100%的完成中省市的各类视频会议，确保会议正常召开</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运行维护正常。</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可持续</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长期</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运行维护正常。</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4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8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合格率</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图像、声音传输正常，确保会议顺利召开达95%</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运行维护正常。</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4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5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3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7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达到97.5%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81</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p>
        </w:tc>
      </w:tr>
    </w:tbl>
    <w:p>
      <w:pPr>
        <w:widowControl/>
        <w:spacing w:line="240" w:lineRule="exact"/>
        <w:ind w:firstLine="1800" w:firstLineChars="10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1166"/>
        <w:gridCol w:w="426"/>
        <w:gridCol w:w="96"/>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3"/>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eastAsia="方正小标宋简体"/>
                <w:bCs/>
                <w:color w:val="000000"/>
                <w:kern w:val="0"/>
                <w:sz w:val="30"/>
                <w:szCs w:val="30"/>
              </w:rPr>
              <w:t>市级项目支出绩效自评表</w:t>
            </w:r>
          </w:p>
        </w:tc>
      </w:tr>
      <w:tr>
        <w:tblPrEx>
          <w:tblCellMar>
            <w:top w:w="0" w:type="dxa"/>
            <w:left w:w="108" w:type="dxa"/>
            <w:bottom w:w="0" w:type="dxa"/>
            <w:right w:w="108" w:type="dxa"/>
          </w:tblCellMar>
        </w:tblPrEx>
        <w:trPr>
          <w:trHeight w:val="201" w:hRule="atLeast"/>
          <w:jc w:val="center"/>
        </w:trPr>
        <w:tc>
          <w:tcPr>
            <w:tcW w:w="9080" w:type="dxa"/>
            <w:gridSpan w:val="13"/>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color w:val="000000"/>
                <w:kern w:val="0"/>
                <w:sz w:val="20"/>
              </w:rPr>
              <w:t>综治维稳工作</w:t>
            </w:r>
          </w:p>
        </w:tc>
      </w:tr>
      <w:tr>
        <w:tblPrEx>
          <w:tblCellMar>
            <w:top w:w="0" w:type="dxa"/>
            <w:left w:w="108" w:type="dxa"/>
            <w:bottom w:w="0" w:type="dxa"/>
            <w:right w:w="108" w:type="dxa"/>
          </w:tblCellMar>
        </w:tblPrEx>
        <w:trPr>
          <w:trHeight w:val="522"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89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hint="default" w:ascii="宋体" w:hAnsi="宋体" w:eastAsia="宋体" w:cs="宋体"/>
                <w:kern w:val="0"/>
                <w:sz w:val="18"/>
                <w:szCs w:val="18"/>
                <w:lang w:val="en-US"/>
              </w:rPr>
            </w:pPr>
            <w:r>
              <w:rPr>
                <w:rFonts w:hint="eastAsia" w:ascii="宋体" w:hAnsi="宋体" w:eastAsia="宋体" w:cs="宋体"/>
                <w:kern w:val="0"/>
                <w:sz w:val="18"/>
                <w:szCs w:val="18"/>
              </w:rPr>
              <w:tab/>
            </w:r>
            <w:r>
              <w:rPr>
                <w:rFonts w:hint="eastAsia" w:ascii="宋体" w:hAnsi="宋体" w:eastAsia="宋体" w:cs="宋体"/>
                <w:color w:val="000000"/>
                <w:kern w:val="0"/>
                <w:sz w:val="20"/>
                <w:lang w:val="en-US" w:eastAsia="zh-CN"/>
              </w:rPr>
              <w:t>110.3</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266"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推进全国综治优秀市创建，加强平安自贡建设；化解突出涉稳问题，抓好敏感期维稳，确保全市社会大局稳定。</w:t>
            </w:r>
          </w:p>
        </w:tc>
        <w:tc>
          <w:tcPr>
            <w:tcW w:w="306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推进全国综治优秀市创建，加强平安自贡建设；化解突出涉稳问题，抓好敏感期维稳，确保全市社会大局稳定。</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5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宣传活动</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80次</w:t>
            </w:r>
          </w:p>
        </w:tc>
        <w:tc>
          <w:tcPr>
            <w:tcW w:w="1166" w:type="dxa"/>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65次　</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8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维护社会稳定</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化解突出问题，营造良好发展环境</w:t>
            </w:r>
          </w:p>
        </w:tc>
        <w:tc>
          <w:tcPr>
            <w:tcW w:w="116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ascii="宋体" w:hAnsi="宋体" w:eastAsia="宋体" w:cs="宋体"/>
                <w:color w:val="000000"/>
                <w:kern w:val="0"/>
                <w:sz w:val="16"/>
              </w:rPr>
              <w:t>运用“多元化解信息系统”按日开展纠纷研判分析，</w:t>
            </w:r>
            <w:r>
              <w:rPr>
                <w:rFonts w:hint="eastAsia" w:ascii="宋体" w:hAnsi="宋体" w:eastAsia="宋体" w:cs="宋体"/>
                <w:color w:val="000000"/>
                <w:kern w:val="0"/>
                <w:sz w:val="16"/>
              </w:rPr>
              <w:t>强化统筹协调，增强化解合力。</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完成时效</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2020年</w:t>
            </w:r>
          </w:p>
        </w:tc>
        <w:tc>
          <w:tcPr>
            <w:tcW w:w="116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已完成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扫除黑恶势力，打击违法犯罪，护航经济发展。</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营造稳定社会治安环境</w:t>
            </w:r>
          </w:p>
        </w:tc>
        <w:tc>
          <w:tcPr>
            <w:tcW w:w="11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7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1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群众满意度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ascii="宋体" w:hAnsi="宋体" w:eastAsia="宋体" w:cs="宋体"/>
                <w:color w:val="000000"/>
                <w:kern w:val="0"/>
                <w:sz w:val="16"/>
              </w:rPr>
              <w:t>成功化解涉疫情矛盾纠纷1252件，化解成功率97.2%，离婚率同比下降43%，群众对物业满意度提升21%，54.5万农民工有序返岗复工。</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800" w:firstLineChars="10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eastAsia="方正小标宋简体"/>
                <w:bCs/>
                <w:color w:val="000000"/>
                <w:kern w:val="0"/>
                <w:sz w:val="30"/>
                <w:szCs w:val="30"/>
              </w:rPr>
              <w:t>市级项目支出绩效自评表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color w:val="000000"/>
                <w:kern w:val="0"/>
                <w:sz w:val="20"/>
              </w:rPr>
              <w:t>综治中心信息化建设项目</w:t>
            </w:r>
          </w:p>
        </w:tc>
      </w:tr>
      <w:tr>
        <w:tblPrEx>
          <w:tblCellMar>
            <w:top w:w="0" w:type="dxa"/>
            <w:left w:w="108" w:type="dxa"/>
            <w:bottom w:w="0" w:type="dxa"/>
            <w:right w:w="108" w:type="dxa"/>
          </w:tblCellMar>
        </w:tblPrEx>
        <w:trPr>
          <w:trHeight w:val="536"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1479" w:type="dxa"/>
            <w:gridSpan w:val="2"/>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795" w:type="dxa"/>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1479" w:type="dxa"/>
            <w:gridSpan w:val="2"/>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795" w:type="dxa"/>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28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满足自贡市综治中心信息化建设并向省、向下与县、乡、村综治中心进行对接。</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满足自贡市综治中心信息化建设并向省、向下与县、乡、村综治中心进行对接。</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覆盖全市市县乡村综治中心</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全覆盖</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已实现　</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4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质量指标</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设备按照要求建设完成，构建全市四级视联网，时限视频会议，应急指挥等功能</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ascii="宋体" w:hAnsi="宋体" w:eastAsia="宋体" w:cs="宋体"/>
                <w:color w:val="000000"/>
                <w:kern w:val="0"/>
                <w:sz w:val="16"/>
              </w:rPr>
              <w:t>结合撤乡并镇试点，在109个乡镇街道统一设置“社会治理办”，与综治中心合署办公、同步运行，建立问题排查、指挥调度、综合研判等</w:t>
            </w:r>
            <w:r>
              <w:rPr>
                <w:rFonts w:hint="eastAsia" w:ascii="宋体" w:hAnsi="宋体" w:eastAsia="宋体" w:cs="宋体"/>
                <w:color w:val="000000"/>
                <w:kern w:val="0"/>
                <w:sz w:val="16"/>
              </w:rPr>
              <w:t>。</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项目完成时限</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2020年</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2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维护社会治安，政治稳定。</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2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9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5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达到92.1%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620" w:firstLineChars="9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eastAsia="方正小标宋简体"/>
                <w:bCs/>
                <w:color w:val="000000"/>
                <w:kern w:val="0"/>
                <w:sz w:val="30"/>
                <w:szCs w:val="30"/>
              </w:rPr>
              <w:t>市级项目支出绩效自评表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color w:val="000000"/>
                <w:kern w:val="0"/>
                <w:sz w:val="20"/>
              </w:rPr>
              <w:t>多元化解专项</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rPr>
              <w:tab/>
            </w:r>
            <w:r>
              <w:rPr>
                <w:rFonts w:hint="eastAsia" w:ascii="宋体" w:hAnsi="宋体" w:eastAsia="宋体" w:cs="宋体"/>
                <w:color w:val="000000"/>
                <w:kern w:val="0"/>
                <w:sz w:val="20"/>
                <w:lang w:val="en-US" w:eastAsia="zh-CN"/>
              </w:rPr>
              <w:t>7.7</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8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调解跟着醒目走”、“调解跟着矛盾走”、突出重点领域专业调解，依法规范和健全“全覆盖”的调解组织及调处机制。坚持用法治思维和法治方式化解矛盾纠纷，推进“大调解”体系在治法的轨道上健康运行，进一步完善多元化解矛盾纠纷机制建设</w:t>
            </w:r>
            <w:r>
              <w:rPr>
                <w:rFonts w:hint="eastAsia" w:ascii="宋体" w:hAnsi="宋体" w:eastAsia="宋体" w:cs="宋体"/>
                <w:color w:val="000000"/>
                <w:kern w:val="0"/>
                <w:sz w:val="20"/>
              </w:rPr>
              <w:t>。</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调解跟着醒目走”、“调解跟着矛盾走”、突出重点领域专业调解，依法规范和健全“全覆盖”的调解组织及调处机制。坚持用法治思维和法治方式化解矛盾纠纷，推进“大调解”体系在治法的轨道上健康运行，进一步完善多元化解矛盾纠纷机制建设。</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1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调解室</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驻所调解室数量达到70个以上，配备调解员。行政调解室、司法调解室稳步增加。</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已建成</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人民调解</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人民调解联动化解纠纷，成功率90%以上</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ascii="宋体" w:hAnsi="宋体" w:eastAsia="宋体" w:cs="宋体"/>
                <w:color w:val="000000"/>
                <w:kern w:val="0"/>
                <w:sz w:val="16"/>
              </w:rPr>
              <w:t>全市矛盾纠纷多元化解成功率98.7%</w:t>
            </w:r>
            <w:r>
              <w:rPr>
                <w:rFonts w:hint="eastAsia" w:ascii="宋体" w:hAnsi="宋体" w:eastAsia="宋体" w:cs="宋体"/>
                <w:color w:val="000000"/>
                <w:kern w:val="0"/>
                <w:sz w:val="16"/>
              </w:rPr>
              <w:t>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8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维护政治安全，社会治安大局稳定。</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6"/>
              </w:rPr>
              <w:t>　年内完成</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4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6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维护社会定，确保经济发展。</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年内完成</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2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2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满意度　</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≥95%</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达到97.5%</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84</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260" w:firstLineChars="7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eastAsia="方正小标宋简体"/>
                <w:bCs/>
                <w:color w:val="000000"/>
                <w:kern w:val="0"/>
                <w:sz w:val="30"/>
                <w:szCs w:val="30"/>
              </w:rPr>
              <w:t>市级项目支出绩效自评表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color w:val="000000"/>
                <w:kern w:val="0"/>
                <w:sz w:val="20"/>
              </w:rPr>
              <w:t>　网格化管理</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rPr>
              <w:tab/>
            </w:r>
            <w:r>
              <w:rPr>
                <w:rFonts w:hint="eastAsia" w:ascii="宋体" w:hAnsi="宋体" w:eastAsia="宋体" w:cs="宋体"/>
                <w:color w:val="000000"/>
                <w:kern w:val="0"/>
                <w:sz w:val="20"/>
              </w:rPr>
              <w:t>6</w:t>
            </w:r>
            <w:r>
              <w:rPr>
                <w:rFonts w:hint="eastAsia" w:ascii="宋体" w:hAnsi="宋体" w:eastAsia="宋体" w:cs="宋体"/>
                <w:color w:val="000000"/>
                <w:kern w:val="0"/>
                <w:sz w:val="20"/>
                <w:lang w:val="en-US" w:eastAsia="zh-CN"/>
              </w:rPr>
              <w:t>.25</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rPr>
              <w:t>6</w:t>
            </w:r>
            <w:r>
              <w:rPr>
                <w:rFonts w:hint="eastAsia" w:ascii="宋体" w:hAnsi="宋体" w:eastAsia="宋体" w:cs="宋体"/>
                <w:color w:val="000000"/>
                <w:kern w:val="0"/>
                <w:sz w:val="20"/>
                <w:lang w:val="en-US" w:eastAsia="zh-CN"/>
              </w:rPr>
              <w:t>.25</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rPr>
              <w:t>6</w:t>
            </w:r>
            <w:r>
              <w:rPr>
                <w:rFonts w:hint="eastAsia" w:ascii="宋体" w:hAnsi="宋体" w:eastAsia="宋体" w:cs="宋体"/>
                <w:color w:val="000000"/>
                <w:kern w:val="0"/>
                <w:sz w:val="20"/>
                <w:lang w:val="en-US" w:eastAsia="zh-CN"/>
              </w:rPr>
              <w:t>.25</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rPr>
              <w:t>6</w:t>
            </w:r>
            <w:r>
              <w:rPr>
                <w:rFonts w:hint="eastAsia" w:ascii="宋体" w:hAnsi="宋体" w:eastAsia="宋体" w:cs="宋体"/>
                <w:color w:val="000000"/>
                <w:kern w:val="0"/>
                <w:sz w:val="20"/>
                <w:lang w:val="en-US" w:eastAsia="zh-CN"/>
              </w:rPr>
              <w:t>.25</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804"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实现不同部门机关、不同业务之间安全高速的数据共享，尽可能的简化办公流程，提高办公效率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实现不同部门机关、不同业务之间安全高速的数据共享，尽可能的简化办公流程，提高办公效率</w:t>
            </w:r>
          </w:p>
        </w:tc>
      </w:tr>
      <w:tr>
        <w:tblPrEx>
          <w:tblCellMar>
            <w:top w:w="0" w:type="dxa"/>
            <w:left w:w="108" w:type="dxa"/>
            <w:bottom w:w="0" w:type="dxa"/>
            <w:right w:w="108" w:type="dxa"/>
          </w:tblCellMar>
        </w:tblPrEx>
        <w:trPr>
          <w:trHeight w:val="736"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5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调研次数</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10次</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w:t>
            </w:r>
            <w:r>
              <w:rPr>
                <w:rFonts w:hint="eastAsia" w:ascii="宋体" w:hAnsi="宋体" w:eastAsia="宋体" w:cs="宋体"/>
                <w:color w:val="000000"/>
                <w:kern w:val="0"/>
                <w:sz w:val="16"/>
                <w:lang w:val="en-US" w:eastAsia="zh-CN"/>
              </w:rPr>
              <w:t>2</w:t>
            </w:r>
            <w:r>
              <w:rPr>
                <w:rFonts w:hint="eastAsia" w:ascii="宋体" w:hAnsi="宋体" w:eastAsia="宋体" w:cs="宋体"/>
                <w:color w:val="000000"/>
                <w:kern w:val="0"/>
                <w:sz w:val="16"/>
              </w:rPr>
              <w:t>次</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2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tcBorders>
              <w:top w:val="single" w:color="auto" w:sz="4" w:space="0"/>
              <w:left w:val="nil"/>
              <w:bottom w:val="single" w:color="auto" w:sz="4" w:space="0"/>
              <w:right w:val="single" w:color="auto" w:sz="4" w:space="0"/>
            </w:tcBorders>
            <w:noWrap w:val="0"/>
            <w:vAlign w:val="center"/>
          </w:tcPr>
          <w:p>
            <w:pPr>
              <w:widowControl/>
              <w:tabs>
                <w:tab w:val="center" w:pos="966"/>
              </w:tabs>
              <w:spacing w:line="240" w:lineRule="exact"/>
              <w:ind w:firstLine="360" w:firstLineChars="200"/>
              <w:jc w:val="left"/>
              <w:rPr>
                <w:rFonts w:ascii="宋体" w:hAnsi="宋体" w:eastAsia="宋体" w:cs="宋体"/>
                <w:kern w:val="0"/>
                <w:sz w:val="18"/>
                <w:szCs w:val="18"/>
              </w:rPr>
            </w:pPr>
            <w:r>
              <w:rPr>
                <w:rFonts w:hint="eastAsia" w:ascii="宋体" w:hAnsi="宋体" w:eastAsia="宋体" w:cs="宋体"/>
                <w:color w:val="000000"/>
                <w:kern w:val="0"/>
                <w:sz w:val="18"/>
                <w:szCs w:val="18"/>
              </w:rPr>
              <w:tab/>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1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按期完成率</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95%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w:t>
            </w:r>
            <w:r>
              <w:rPr>
                <w:rFonts w:ascii="宋体" w:hAnsi="宋体" w:eastAsia="宋体" w:cs="宋体"/>
                <w:kern w:val="0"/>
                <w:sz w:val="16"/>
              </w:rPr>
              <w:t>扎实抓好矛盾纠纷滚动排查、集中排查和专项排查，按月规范开展纠纷集中研判，“随手调”实现全覆盖</w:t>
            </w:r>
            <w:r>
              <w:rPr>
                <w:rFonts w:hint="eastAsia" w:ascii="宋体" w:hAnsi="宋体" w:eastAsia="宋体" w:cs="宋体"/>
                <w:kern w:val="0"/>
                <w:sz w:val="16"/>
              </w:rPr>
              <w:t>。</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08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网格员</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配备网格员不低于2000人，逐步提高人员数量，经费保障到位</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把《自贡市网格化服务管理条例》纳入立法计划范畴。</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6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维护社会定，确保经济发展。</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年内完成</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2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1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达到97.5%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440" w:firstLineChars="8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p>
      <w:pPr>
        <w:spacing w:line="600" w:lineRule="exact"/>
        <w:jc w:val="center"/>
        <w:outlineLvl w:val="0"/>
        <w:rPr>
          <w:rFonts w:hint="eastAsia" w:ascii="黑体" w:hAnsi="黑体" w:eastAsia="黑体"/>
          <w:color w:val="000000"/>
          <w:sz w:val="44"/>
          <w:szCs w:val="44"/>
        </w:rPr>
      </w:pPr>
      <w:bookmarkStart w:id="56" w:name="_Toc18418"/>
      <w:bookmarkStart w:id="57" w:name="_Toc15396618"/>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spacing w:line="600" w:lineRule="exact"/>
        <w:jc w:val="center"/>
        <w:outlineLvl w:val="0"/>
        <w:rPr>
          <w:rStyle w:val="16"/>
          <w:rFonts w:hint="eastAsia" w:ascii="黑体" w:hAnsi="黑体" w:eastAsia="黑体"/>
          <w:b w:val="0"/>
        </w:rPr>
      </w:pPr>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4"/>
      <w:bookmarkEnd w:id="56"/>
      <w:bookmarkEnd w:id="57"/>
      <w:bookmarkStart w:id="58" w:name="_Toc15396619"/>
      <w:bookmarkStart w:id="59" w:name="_Toc14600"/>
    </w:p>
    <w:p>
      <w:pPr>
        <w:spacing w:line="600" w:lineRule="exact"/>
        <w:jc w:val="left"/>
        <w:outlineLvl w:val="0"/>
        <w:rPr>
          <w:rFonts w:ascii="仿宋" w:hAnsi="仿宋" w:eastAsia="仿宋"/>
          <w:color w:val="000000"/>
        </w:rPr>
      </w:pPr>
      <w:r>
        <w:rPr>
          <w:rFonts w:hint="eastAsia" w:ascii="仿宋" w:hAnsi="仿宋" w:eastAsia="仿宋"/>
          <w:b w:val="0"/>
          <w:color w:val="000000"/>
        </w:rPr>
        <w:t>一、收</w:t>
      </w:r>
      <w:r>
        <w:rPr>
          <w:rStyle w:val="17"/>
          <w:rFonts w:hint="eastAsia" w:ascii="仿宋" w:hAnsi="仿宋" w:eastAsia="仿宋"/>
          <w:b w:val="0"/>
          <w:bCs w:val="0"/>
        </w:rPr>
        <w:t>入支出决算总表</w:t>
      </w:r>
      <w:bookmarkEnd w:id="58"/>
      <w:bookmarkEnd w:id="59"/>
    </w:p>
    <w:p>
      <w:pPr>
        <w:pStyle w:val="4"/>
        <w:rPr>
          <w:rFonts w:ascii="仿宋" w:hAnsi="仿宋" w:eastAsia="仿宋"/>
          <w:color w:val="000000"/>
        </w:rPr>
      </w:pPr>
      <w:bookmarkStart w:id="60" w:name="_Toc15925"/>
      <w:bookmarkStart w:id="61" w:name="_Toc15396620"/>
      <w:r>
        <w:rPr>
          <w:rFonts w:hint="eastAsia" w:ascii="仿宋" w:hAnsi="仿宋" w:eastAsia="仿宋"/>
          <w:b w:val="0"/>
          <w:color w:val="000000"/>
        </w:rPr>
        <w:t>二、收</w:t>
      </w:r>
      <w:r>
        <w:rPr>
          <w:rStyle w:val="17"/>
          <w:rFonts w:hint="eastAsia" w:ascii="仿宋" w:hAnsi="仿宋" w:eastAsia="仿宋"/>
          <w:b w:val="0"/>
          <w:bCs w:val="0"/>
        </w:rPr>
        <w:t>入决算表</w:t>
      </w:r>
      <w:bookmarkEnd w:id="60"/>
      <w:bookmarkEnd w:id="61"/>
    </w:p>
    <w:p>
      <w:pPr>
        <w:pStyle w:val="4"/>
        <w:rPr>
          <w:rFonts w:ascii="仿宋" w:hAnsi="仿宋" w:eastAsia="仿宋"/>
          <w:color w:val="000000"/>
        </w:rPr>
      </w:pPr>
      <w:bookmarkStart w:id="62" w:name="_Toc7187"/>
      <w:bookmarkStart w:id="63"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出决算表</w:t>
      </w:r>
      <w:bookmarkEnd w:id="62"/>
      <w:bookmarkEnd w:id="63"/>
    </w:p>
    <w:p>
      <w:pPr>
        <w:pStyle w:val="4"/>
        <w:rPr>
          <w:rFonts w:ascii="仿宋" w:hAnsi="仿宋" w:eastAsia="仿宋"/>
          <w:b w:val="0"/>
          <w:color w:val="000000"/>
        </w:rPr>
      </w:pPr>
      <w:bookmarkStart w:id="64" w:name="_Toc15396622"/>
      <w:bookmarkStart w:id="65" w:name="_Toc5686"/>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4"/>
      <w:bookmarkEnd w:id="65"/>
    </w:p>
    <w:p>
      <w:pPr>
        <w:pStyle w:val="4"/>
        <w:rPr>
          <w:rStyle w:val="17"/>
          <w:rFonts w:ascii="仿宋" w:hAnsi="仿宋" w:eastAsia="仿宋"/>
          <w:b w:val="0"/>
          <w:bCs w:val="0"/>
        </w:rPr>
      </w:pPr>
      <w:bookmarkStart w:id="66" w:name="_Toc6343"/>
      <w:bookmarkStart w:id="67"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w:t>
      </w:r>
      <w:bookmarkEnd w:id="66"/>
      <w:bookmarkEnd w:id="67"/>
      <w:bookmarkStart w:id="68" w:name="_Toc15396624"/>
    </w:p>
    <w:p>
      <w:pPr>
        <w:pStyle w:val="4"/>
        <w:rPr>
          <w:rFonts w:ascii="仿宋" w:hAnsi="仿宋" w:eastAsia="仿宋"/>
          <w:color w:val="000000"/>
        </w:rPr>
      </w:pPr>
      <w:bookmarkStart w:id="69" w:name="_Toc31131"/>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8"/>
      <w:bookmarkEnd w:id="69"/>
    </w:p>
    <w:p>
      <w:pPr>
        <w:pStyle w:val="4"/>
        <w:rPr>
          <w:rFonts w:ascii="仿宋" w:hAnsi="仿宋" w:eastAsia="仿宋"/>
          <w:color w:val="000000"/>
        </w:rPr>
      </w:pPr>
      <w:bookmarkStart w:id="70" w:name="_Toc15396625"/>
      <w:bookmarkStart w:id="71" w:name="_Toc11064"/>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70"/>
      <w:bookmarkEnd w:id="71"/>
    </w:p>
    <w:p>
      <w:pPr>
        <w:pStyle w:val="4"/>
        <w:rPr>
          <w:rFonts w:ascii="仿宋" w:hAnsi="仿宋" w:eastAsia="仿宋"/>
          <w:color w:val="000000"/>
        </w:rPr>
      </w:pPr>
      <w:bookmarkStart w:id="72" w:name="_Toc12549"/>
      <w:bookmarkStart w:id="73"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72"/>
      <w:bookmarkEnd w:id="73"/>
    </w:p>
    <w:p>
      <w:pPr>
        <w:pStyle w:val="4"/>
        <w:rPr>
          <w:rFonts w:ascii="仿宋" w:hAnsi="仿宋" w:eastAsia="仿宋"/>
          <w:color w:val="000000"/>
        </w:rPr>
      </w:pPr>
      <w:bookmarkStart w:id="74" w:name="_Toc19168"/>
      <w:bookmarkStart w:id="75"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74"/>
      <w:bookmarkEnd w:id="75"/>
    </w:p>
    <w:p>
      <w:pPr>
        <w:pStyle w:val="4"/>
        <w:spacing w:line="360" w:lineRule="auto"/>
        <w:rPr>
          <w:rFonts w:ascii="仿宋" w:hAnsi="仿宋" w:eastAsia="仿宋"/>
          <w:color w:val="000000"/>
        </w:rPr>
      </w:pPr>
      <w:bookmarkStart w:id="76" w:name="_Toc18941"/>
      <w:bookmarkStart w:id="77"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76"/>
      <w:bookmarkEnd w:id="77"/>
    </w:p>
    <w:p>
      <w:pPr>
        <w:pStyle w:val="4"/>
        <w:spacing w:line="360" w:lineRule="auto"/>
        <w:rPr>
          <w:rFonts w:ascii="仿宋" w:hAnsi="仿宋" w:eastAsia="仿宋"/>
          <w:color w:val="000000"/>
        </w:rPr>
      </w:pPr>
      <w:bookmarkStart w:id="78" w:name="_Toc15396629"/>
      <w:bookmarkStart w:id="79" w:name="_Toc15180"/>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78"/>
      <w:bookmarkEnd w:id="79"/>
    </w:p>
    <w:p>
      <w:pPr>
        <w:pStyle w:val="4"/>
        <w:rPr>
          <w:rFonts w:hint="eastAsia" w:ascii="仿宋" w:hAnsi="仿宋" w:eastAsia="仿宋"/>
          <w:b w:val="0"/>
          <w:color w:val="000000"/>
        </w:rPr>
      </w:pPr>
      <w:bookmarkStart w:id="80" w:name="_Toc15396630"/>
      <w:bookmarkStart w:id="81" w:name="_Toc23897"/>
      <w:r>
        <w:rPr>
          <w:rFonts w:hint="eastAsia" w:ascii="仿宋" w:hAnsi="仿宋" w:eastAsia="仿宋"/>
          <w:b w:val="0"/>
          <w:color w:val="000000"/>
        </w:rPr>
        <w:t>十二、政府性基金预算财政拨款“三公”经费支出决算表</w:t>
      </w:r>
      <w:bookmarkEnd w:id="80"/>
      <w:bookmarkEnd w:id="81"/>
    </w:p>
    <w:p>
      <w:pPr>
        <w:pStyle w:val="4"/>
        <w:rPr>
          <w:rFonts w:hint="eastAsia" w:ascii="仿宋" w:hAnsi="仿宋" w:eastAsia="仿宋"/>
          <w:b w:val="0"/>
          <w:color w:val="000000"/>
        </w:rPr>
      </w:pPr>
      <w:bookmarkStart w:id="82" w:name="_Toc3960"/>
      <w:r>
        <w:rPr>
          <w:rFonts w:hint="eastAsia" w:ascii="仿宋" w:hAnsi="仿宋" w:eastAsia="仿宋"/>
          <w:b w:val="0"/>
          <w:color w:val="000000"/>
        </w:rPr>
        <w:t>十三、国有资本经营预算财政拨款收入支出决算表</w:t>
      </w:r>
      <w:bookmarkEnd w:id="82"/>
    </w:p>
    <w:p>
      <w:pPr>
        <w:pStyle w:val="4"/>
        <w:rPr>
          <w:rFonts w:hint="eastAsia" w:ascii="仿宋" w:hAnsi="仿宋" w:eastAsia="仿宋"/>
          <w:b w:val="0"/>
          <w:color w:val="000000"/>
        </w:rPr>
      </w:pPr>
      <w:bookmarkStart w:id="83" w:name="_Toc441"/>
      <w:r>
        <w:rPr>
          <w:rFonts w:hint="eastAsia" w:ascii="仿宋" w:hAnsi="仿宋" w:eastAsia="仿宋"/>
          <w:b w:val="0"/>
          <w:color w:val="000000"/>
        </w:rPr>
        <w:t>十四、国有资本经营预算财政拨款支出决算表</w:t>
      </w:r>
      <w:bookmarkEnd w:id="8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D90A0"/>
    <w:multiLevelType w:val="singleLevel"/>
    <w:tmpl w:val="979D90A0"/>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4078C"/>
    <w:rsid w:val="002B6DD9"/>
    <w:rsid w:val="02AF3174"/>
    <w:rsid w:val="05DE0DAD"/>
    <w:rsid w:val="06D96529"/>
    <w:rsid w:val="0AB9552D"/>
    <w:rsid w:val="23620D1A"/>
    <w:rsid w:val="269862DE"/>
    <w:rsid w:val="3E4169FF"/>
    <w:rsid w:val="3EDA6778"/>
    <w:rsid w:val="3F9A05DB"/>
    <w:rsid w:val="47BD0CAB"/>
    <w:rsid w:val="4A6B10B5"/>
    <w:rsid w:val="54015981"/>
    <w:rsid w:val="56774470"/>
    <w:rsid w:val="5D3E75DF"/>
    <w:rsid w:val="6504078C"/>
    <w:rsid w:val="65954E34"/>
    <w:rsid w:val="726E3979"/>
    <w:rsid w:val="747D4DEF"/>
    <w:rsid w:val="788E4A9C"/>
    <w:rsid w:val="B7DF065C"/>
    <w:rsid w:val="FEF7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24"/>
      <w:szCs w:val="20"/>
    </w:rPr>
  </w:style>
  <w:style w:type="paragraph" w:styleId="5">
    <w:name w:val="index 5"/>
    <w:basedOn w:val="1"/>
    <w:next w:val="1"/>
    <w:qFormat/>
    <w:uiPriority w:val="0"/>
    <w:pPr>
      <w:ind w:left="1680"/>
    </w:pPr>
  </w:style>
  <w:style w:type="paragraph" w:styleId="6">
    <w:name w:val="Body Text Indent"/>
    <w:basedOn w:val="1"/>
    <w:qFormat/>
    <w:uiPriority w:val="0"/>
    <w:pPr>
      <w:spacing w:line="560" w:lineRule="exact"/>
      <w:ind w:firstLine="640" w:firstLineChars="200"/>
    </w:pPr>
  </w:style>
  <w:style w:type="paragraph" w:styleId="7">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9">
    <w:name w:val="toc 1"/>
    <w:basedOn w:val="1"/>
    <w:next w:val="1"/>
    <w:unhideWhenUsed/>
    <w:qFormat/>
    <w:uiPriority w:val="39"/>
    <w:pPr>
      <w:spacing w:before="120"/>
      <w:jc w:val="left"/>
    </w:pPr>
    <w:rPr>
      <w:rFonts w:ascii="等线" w:eastAsia="等线"/>
      <w:b/>
      <w:bCs/>
      <w:i/>
      <w:iCs/>
      <w:sz w:val="24"/>
    </w:rPr>
  </w:style>
  <w:style w:type="paragraph" w:styleId="10">
    <w:name w:val="toc 2"/>
    <w:basedOn w:val="1"/>
    <w:next w:val="1"/>
    <w:unhideWhenUsed/>
    <w:qFormat/>
    <w:uiPriority w:val="39"/>
    <w:pPr>
      <w:spacing w:before="120"/>
      <w:ind w:left="300"/>
      <w:jc w:val="left"/>
    </w:pPr>
    <w:rPr>
      <w:rFonts w:ascii="等线" w:eastAsia="等线"/>
      <w:b/>
      <w:bCs/>
      <w:sz w:val="22"/>
      <w:szCs w:val="22"/>
    </w:rPr>
  </w:style>
  <w:style w:type="paragraph" w:styleId="11">
    <w:name w:val="Body Text First Indent 2"/>
    <w:basedOn w:val="6"/>
    <w:next w:val="5"/>
    <w:qFormat/>
    <w:uiPriority w:val="0"/>
    <w:pPr>
      <w:spacing w:after="120" w:line="240" w:lineRule="auto"/>
      <w:ind w:left="420" w:leftChars="200" w:firstLine="420"/>
    </w:pPr>
  </w:style>
  <w:style w:type="character" w:styleId="14">
    <w:name w:val="Strong"/>
    <w:basedOn w:val="13"/>
    <w:qFormat/>
    <w:uiPriority w:val="99"/>
    <w:rPr>
      <w:rFonts w:cs="Times New Roman"/>
      <w:b/>
    </w:rPr>
  </w:style>
  <w:style w:type="character" w:styleId="15">
    <w:name w:val="Hyperlink"/>
    <w:unhideWhenUsed/>
    <w:qFormat/>
    <w:uiPriority w:val="99"/>
    <w:rPr>
      <w:color w:val="0000FF"/>
      <w:u w:val="single"/>
    </w:rPr>
  </w:style>
  <w:style w:type="character" w:customStyle="1" w:styleId="16">
    <w:name w:val=" Char Char6"/>
    <w:basedOn w:val="13"/>
    <w:link w:val="3"/>
    <w:qFormat/>
    <w:locked/>
    <w:uiPriority w:val="9"/>
    <w:rPr>
      <w:b/>
      <w:bCs/>
      <w:kern w:val="44"/>
      <w:sz w:val="44"/>
      <w:szCs w:val="44"/>
    </w:rPr>
  </w:style>
  <w:style w:type="character" w:customStyle="1" w:styleId="17">
    <w:name w:val=" Char Char5"/>
    <w:basedOn w:val="13"/>
    <w:link w:val="4"/>
    <w:qFormat/>
    <w:locked/>
    <w:uiPriority w:val="9"/>
    <w:rPr>
      <w:rFonts w:ascii="Cambria" w:hAnsi="Cambria"/>
      <w:b/>
      <w:bCs/>
      <w:sz w:val="32"/>
      <w:szCs w:val="32"/>
    </w:rPr>
  </w:style>
  <w:style w:type="paragraph" w:customStyle="1" w:styleId="18">
    <w:name w:val="List Paragraph"/>
    <w:basedOn w:val="1"/>
    <w:qFormat/>
    <w:uiPriority w:val="34"/>
    <w:pPr>
      <w:ind w:firstLine="420" w:firstLineChars="200"/>
    </w:p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0">
    <w:name w:val="标题 2 Char"/>
    <w:basedOn w:val="13"/>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收入支出总计</a:t>
            </a:r>
          </a:p>
        </c:rich>
      </c:tx>
      <c:layout/>
      <c:overlay val="0"/>
      <c:spPr>
        <a:noFill/>
        <a:ln>
          <a:noFill/>
        </a:ln>
        <a:effectLst/>
      </c:spPr>
    </c:title>
    <c:autoTitleDeleted val="0"/>
    <c:plotArea>
      <c:layout>
        <c:manualLayout>
          <c:layoutTarget val="inner"/>
          <c:xMode val="edge"/>
          <c:yMode val="edge"/>
          <c:x val="0.061575"/>
          <c:y val="0.121166666666667"/>
          <c:w val="0.910925"/>
          <c:h val="0.716066666666667"/>
        </c:manualLayout>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numRef>
              <c:f>Sheet1!$A$1:$A$2</c:f>
              <c:numCache>
                <c:formatCode>General</c:formatCode>
                <c:ptCount val="2"/>
                <c:pt idx="0">
                  <c:v>2020</c:v>
                </c:pt>
                <c:pt idx="1">
                  <c:v>2021</c:v>
                </c:pt>
              </c:numCache>
            </c:numRef>
          </c:cat>
          <c:val>
            <c:numRef>
              <c:f>Sheet1!$B$1:$B$2</c:f>
              <c:numCache>
                <c:formatCode>General</c:formatCode>
                <c:ptCount val="2"/>
                <c:pt idx="0">
                  <c:v>1419.57</c:v>
                </c:pt>
                <c:pt idx="1">
                  <c:v>1478.56</c:v>
                </c:pt>
              </c:numCache>
            </c:numRef>
          </c:val>
        </c:ser>
        <c:dLbls>
          <c:showLegendKey val="0"/>
          <c:showVal val="0"/>
          <c:showCatName val="0"/>
          <c:showSerName val="0"/>
          <c:showPercent val="0"/>
          <c:showBubbleSize val="0"/>
        </c:dLbls>
        <c:gapWidth val="150"/>
        <c:overlap val="100"/>
        <c:axId val="637986078"/>
        <c:axId val="122111572"/>
      </c:barChart>
      <c:catAx>
        <c:axId val="6379860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111572"/>
        <c:crosses val="autoZero"/>
        <c:auto val="1"/>
        <c:lblAlgn val="ctr"/>
        <c:lblOffset val="100"/>
        <c:noMultiLvlLbl val="0"/>
      </c:catAx>
      <c:valAx>
        <c:axId val="1221115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798607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财政拨款收支总计</a:t>
            </a:r>
          </a:p>
        </c:rich>
      </c:tx>
      <c:layout/>
      <c:overlay val="0"/>
      <c:spPr>
        <a:noFill/>
        <a:ln>
          <a:noFill/>
        </a:ln>
        <a:effectLst/>
      </c:spPr>
    </c:title>
    <c:autoTitleDeleted val="0"/>
    <c:plotArea>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numRef>
              <c:f>Sheet1!$A$1:$A$2</c:f>
              <c:numCache>
                <c:formatCode>General</c:formatCode>
                <c:ptCount val="2"/>
                <c:pt idx="0">
                  <c:v>2020</c:v>
                </c:pt>
                <c:pt idx="1">
                  <c:v>2021</c:v>
                </c:pt>
              </c:numCache>
            </c:numRef>
          </c:cat>
          <c:val>
            <c:numRef>
              <c:f>Sheet1!$B$1:$B$2</c:f>
              <c:numCache>
                <c:formatCode>General</c:formatCode>
                <c:ptCount val="2"/>
                <c:pt idx="0">
                  <c:v>1419.57</c:v>
                </c:pt>
                <c:pt idx="1">
                  <c:v>1478.56</c:v>
                </c:pt>
              </c:numCache>
            </c:numRef>
          </c:val>
        </c:ser>
        <c:dLbls>
          <c:showLegendKey val="0"/>
          <c:showVal val="0"/>
          <c:showCatName val="0"/>
          <c:showSerName val="0"/>
          <c:showPercent val="0"/>
          <c:showBubbleSize val="0"/>
        </c:dLbls>
        <c:gapWidth val="150"/>
        <c:overlap val="100"/>
        <c:axId val="719077769"/>
        <c:axId val="114494137"/>
      </c:barChart>
      <c:catAx>
        <c:axId val="7190777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494137"/>
        <c:crosses val="autoZero"/>
        <c:auto val="1"/>
        <c:lblAlgn val="ctr"/>
        <c:lblOffset val="100"/>
        <c:noMultiLvlLbl val="0"/>
      </c:catAx>
      <c:valAx>
        <c:axId val="11449413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07776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layout>
        <c:manualLayout>
          <c:xMode val="edge"/>
          <c:yMode val="edge"/>
          <c:x val="0.174939600263562"/>
          <c:y val="0.0100146555935515"/>
        </c:manualLayout>
      </c:layout>
      <c:overlay val="0"/>
      <c:spPr>
        <a:noFill/>
        <a:ln>
          <a:noFill/>
        </a:ln>
        <a:effectLst/>
      </c:spPr>
    </c:title>
    <c:autoTitleDeleted val="0"/>
    <c:plotArea>
      <c:layout>
        <c:manualLayout>
          <c:layoutTarget val="inner"/>
          <c:xMode val="edge"/>
          <c:yMode val="edge"/>
          <c:x val="0.061575"/>
          <c:y val="0.121166666666667"/>
          <c:w val="0.910925"/>
          <c:h val="0.716066666666667"/>
        </c:manualLayout>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numRef>
              <c:f>Sheet1!$A$1:$A$2</c:f>
              <c:numCache>
                <c:formatCode>General</c:formatCode>
                <c:ptCount val="2"/>
                <c:pt idx="0">
                  <c:v>2020</c:v>
                </c:pt>
                <c:pt idx="1">
                  <c:v>2021</c:v>
                </c:pt>
              </c:numCache>
            </c:numRef>
          </c:cat>
          <c:val>
            <c:numRef>
              <c:f>Sheet1!$B$1:$B$2</c:f>
              <c:numCache>
                <c:formatCode>General</c:formatCode>
                <c:ptCount val="2"/>
                <c:pt idx="0">
                  <c:v>1419.57</c:v>
                </c:pt>
                <c:pt idx="1">
                  <c:v>1478.56</c:v>
                </c:pt>
              </c:numCache>
            </c:numRef>
          </c:val>
        </c:ser>
        <c:dLbls>
          <c:showLegendKey val="0"/>
          <c:showVal val="0"/>
          <c:showCatName val="0"/>
          <c:showSerName val="0"/>
          <c:showPercent val="0"/>
          <c:showBubbleSize val="0"/>
        </c:dLbls>
        <c:gapWidth val="150"/>
        <c:overlap val="100"/>
        <c:axId val="637986078"/>
        <c:axId val="122111572"/>
      </c:barChart>
      <c:catAx>
        <c:axId val="6379860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111572"/>
        <c:crosses val="autoZero"/>
        <c:auto val="1"/>
        <c:lblAlgn val="ctr"/>
        <c:lblOffset val="100"/>
        <c:noMultiLvlLbl val="0"/>
      </c:catAx>
      <c:valAx>
        <c:axId val="1221115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798607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2021-09-09T03:29:00Z</dcterms:created>
  <dc:creator>Administrator</dc:creator>
  <cp:lastModifiedBy>Administrator</cp:lastModifiedBy>
  <dcterms:modified xsi:type="dcterms:W3CDTF">2023-09-18T06:45:31Z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AD572CED77974D8E8408BD5F759D5159</vt:lpwstr>
  </property>
</Properties>
</file>