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hint="eastAsia" w:ascii="方正小标宋简体" w:eastAsia="方正小标宋简体"/>
          <w:sz w:val="44"/>
          <w:szCs w:val="44"/>
          <w:lang w:val="en-US" w:eastAsia="zh-CN"/>
        </w:rPr>
      </w:pPr>
    </w:p>
    <w:p>
      <w:pPr>
        <w:widowControl/>
        <w:spacing w:line="58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自贡市</w:t>
      </w:r>
      <w:r>
        <w:rPr>
          <w:rFonts w:hint="eastAsia" w:ascii="方正小标宋简体" w:eastAsia="方正小标宋简体"/>
          <w:sz w:val="44"/>
          <w:szCs w:val="44"/>
          <w:lang w:eastAsia="zh-CN"/>
        </w:rPr>
        <w:t>法学会</w:t>
      </w:r>
    </w:p>
    <w:p>
      <w:pPr>
        <w:widowControl/>
        <w:spacing w:line="58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2021</w:t>
      </w:r>
      <w:r>
        <w:rPr>
          <w:rFonts w:hint="eastAsia" w:ascii="方正小标宋简体" w:eastAsia="方正小标宋简体"/>
          <w:sz w:val="44"/>
          <w:szCs w:val="44"/>
        </w:rPr>
        <w:t>年度</w:t>
      </w:r>
      <w:r>
        <w:rPr>
          <w:rFonts w:hint="eastAsia" w:ascii="方正小标宋简体" w:eastAsia="方正小标宋简体"/>
          <w:sz w:val="44"/>
          <w:szCs w:val="44"/>
          <w:lang w:val="en-US" w:eastAsia="zh-CN"/>
        </w:rPr>
        <w:t>单位</w:t>
      </w:r>
      <w:r>
        <w:rPr>
          <w:rFonts w:hint="eastAsia" w:ascii="方正小标宋简体" w:eastAsia="方正小标宋简体"/>
          <w:sz w:val="44"/>
          <w:szCs w:val="44"/>
        </w:rPr>
        <w:t>决算编制的说明</w:t>
      </w:r>
    </w:p>
    <w:p>
      <w:pPr>
        <w:widowControl/>
        <w:jc w:val="center"/>
        <w:rPr>
          <w:rFonts w:ascii="仿宋_GB2312"/>
          <w:sz w:val="28"/>
          <w:szCs w:val="28"/>
        </w:rPr>
      </w:pPr>
    </w:p>
    <w:p>
      <w:pPr>
        <w:widowControl/>
        <w:jc w:val="center"/>
        <w:rPr>
          <w:rFonts w:ascii="黑体" w:hAnsi="黑体" w:eastAsia="黑体"/>
          <w:color w:val="000000"/>
          <w:sz w:val="48"/>
          <w:szCs w:val="48"/>
        </w:rPr>
      </w:pPr>
      <w:r>
        <w:rPr>
          <w:rFonts w:hint="eastAsia" w:ascii="黑体" w:hAnsi="黑体" w:eastAsia="黑体"/>
          <w:color w:val="000000"/>
          <w:sz w:val="44"/>
          <w:szCs w:val="44"/>
        </w:rPr>
        <w:t>目</w:t>
      </w:r>
      <w:r>
        <w:rPr>
          <w:rFonts w:hint="eastAsia" w:ascii="黑体" w:hAnsi="黑体" w:eastAsia="黑体"/>
          <w:color w:val="000000"/>
          <w:sz w:val="44"/>
          <w:szCs w:val="44"/>
          <w:lang w:val="en-US" w:eastAsia="zh-CN"/>
        </w:rPr>
        <w:t xml:space="preserve"> </w:t>
      </w:r>
      <w:r>
        <w:rPr>
          <w:rFonts w:hint="eastAsia" w:ascii="黑体" w:hAnsi="黑体" w:eastAsia="黑体"/>
          <w:color w:val="000000"/>
          <w:sz w:val="44"/>
          <w:szCs w:val="44"/>
        </w:rPr>
        <w:t>录</w:t>
      </w:r>
    </w:p>
    <w:p>
      <w:pPr>
        <w:pStyle w:val="9"/>
        <w:spacing w:line="500" w:lineRule="exact"/>
        <w:jc w:val="center"/>
        <w:rPr>
          <w:rFonts w:hint="eastAsia" w:ascii="仿宋_GB2312" w:eastAsia="仿宋_GB2312"/>
          <w:i w:val="0"/>
          <w:color w:val="FF0000"/>
          <w:sz w:val="32"/>
        </w:rPr>
      </w:pPr>
      <w:r>
        <w:rPr>
          <w:rFonts w:hint="eastAsia" w:ascii="仿宋_GB2312" w:eastAsia="仿宋_GB2312"/>
          <w:i w:val="0"/>
          <w:color w:val="FF0000"/>
          <w:sz w:val="32"/>
        </w:rPr>
        <w:t>公开时间：202</w:t>
      </w:r>
      <w:r>
        <w:rPr>
          <w:rFonts w:hint="eastAsia" w:ascii="仿宋_GB2312" w:eastAsia="仿宋_GB2312"/>
          <w:i w:val="0"/>
          <w:color w:val="FF0000"/>
          <w:sz w:val="32"/>
          <w:lang w:val="en-US" w:eastAsia="zh-CN"/>
        </w:rPr>
        <w:t>2</w:t>
      </w:r>
      <w:r>
        <w:rPr>
          <w:rFonts w:hint="eastAsia" w:ascii="仿宋_GB2312" w:eastAsia="仿宋_GB2312"/>
          <w:i w:val="0"/>
          <w:color w:val="FF0000"/>
          <w:sz w:val="32"/>
        </w:rPr>
        <w:t>年</w:t>
      </w:r>
      <w:r>
        <w:rPr>
          <w:rFonts w:hint="eastAsia" w:ascii="仿宋_GB2312" w:eastAsia="仿宋_GB2312"/>
          <w:i w:val="0"/>
          <w:color w:val="FF0000"/>
          <w:sz w:val="32"/>
          <w:lang w:val="en-US" w:eastAsia="zh-CN"/>
        </w:rPr>
        <w:t>10</w:t>
      </w:r>
      <w:r>
        <w:rPr>
          <w:rFonts w:hint="eastAsia" w:ascii="仿宋_GB2312" w:eastAsia="仿宋_GB2312"/>
          <w:i w:val="0"/>
          <w:color w:val="FF0000"/>
          <w:sz w:val="32"/>
        </w:rPr>
        <w:t>月</w:t>
      </w:r>
      <w:r>
        <w:rPr>
          <w:rFonts w:hint="eastAsia" w:ascii="仿宋_GB2312" w:eastAsia="仿宋_GB2312"/>
          <w:i w:val="0"/>
          <w:color w:val="FF0000"/>
          <w:sz w:val="32"/>
          <w:lang w:val="en-US" w:eastAsia="zh-CN"/>
        </w:rPr>
        <w:t>20</w:t>
      </w:r>
      <w:r>
        <w:rPr>
          <w:rFonts w:hint="eastAsia" w:ascii="仿宋_GB2312" w:eastAsia="仿宋_GB2312"/>
          <w:i w:val="0"/>
          <w:color w:val="FF0000"/>
          <w:sz w:val="32"/>
        </w:rPr>
        <w:t>日</w:t>
      </w:r>
    </w:p>
    <w:p>
      <w:pPr>
        <w:pStyle w:val="9"/>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TOC \o "1-2" \h \z \u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_Toc7175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 xml:space="preserve">第一部分 </w:t>
      </w:r>
      <w:r>
        <w:rPr>
          <w:rFonts w:hint="eastAsia" w:ascii="仿宋_GB2312" w:hAnsi="仿宋_GB2312" w:eastAsia="仿宋_GB2312" w:cs="仿宋_GB2312"/>
          <w:b w:val="0"/>
          <w:bCs w:val="0"/>
          <w:i w:val="0"/>
          <w:iCs w:val="0"/>
          <w:sz w:val="32"/>
          <w:szCs w:val="32"/>
          <w:lang w:val="en-US" w:eastAsia="zh-CN"/>
        </w:rPr>
        <w:t>单位</w:t>
      </w:r>
      <w:r>
        <w:rPr>
          <w:rFonts w:hint="eastAsia" w:ascii="仿宋_GB2312" w:hAnsi="仿宋_GB2312" w:eastAsia="仿宋_GB2312" w:cs="仿宋_GB2312"/>
          <w:b w:val="0"/>
          <w:bCs w:val="0"/>
          <w:i w:val="0"/>
          <w:iCs w:val="0"/>
          <w:sz w:val="32"/>
          <w:szCs w:val="32"/>
        </w:rPr>
        <w:t>概况</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_Toc7175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_Toc3572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lang w:eastAsia="zh-CN"/>
        </w:rPr>
        <w:t>一、</w:t>
      </w:r>
      <w:r>
        <w:rPr>
          <w:rFonts w:hint="eastAsia" w:ascii="仿宋_GB2312" w:hAnsi="仿宋_GB2312" w:eastAsia="仿宋_GB2312" w:cs="仿宋_GB2312"/>
          <w:b w:val="0"/>
          <w:bCs w:val="0"/>
          <w:i w:val="0"/>
          <w:iCs w:val="0"/>
          <w:sz w:val="32"/>
          <w:szCs w:val="32"/>
          <w:highlight w:val="none"/>
        </w:rPr>
        <w:t>职能</w:t>
      </w:r>
      <w:r>
        <w:rPr>
          <w:rFonts w:hint="eastAsia" w:ascii="仿宋_GB2312" w:hAnsi="仿宋_GB2312" w:eastAsia="仿宋_GB2312" w:cs="仿宋_GB2312"/>
          <w:b w:val="0"/>
          <w:bCs w:val="0"/>
          <w:i w:val="0"/>
          <w:iCs w:val="0"/>
          <w:sz w:val="32"/>
          <w:szCs w:val="32"/>
          <w:highlight w:val="none"/>
          <w:lang w:eastAsia="zh-CN"/>
        </w:rPr>
        <w:t>简介</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_Toc3572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_Toc32381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lang w:val="en-US" w:eastAsia="zh-CN"/>
        </w:rPr>
        <w:t>二、2021年重点</w:t>
      </w:r>
      <w:r>
        <w:rPr>
          <w:rFonts w:hint="eastAsia" w:ascii="仿宋_GB2312" w:hAnsi="仿宋_GB2312" w:eastAsia="仿宋_GB2312" w:cs="仿宋_GB2312"/>
          <w:b w:val="0"/>
          <w:bCs w:val="0"/>
          <w:i w:val="0"/>
          <w:iCs w:val="0"/>
          <w:sz w:val="32"/>
          <w:szCs w:val="32"/>
          <w:highlight w:val="none"/>
        </w:rPr>
        <w:t>工作</w:t>
      </w:r>
      <w:r>
        <w:rPr>
          <w:rFonts w:hint="eastAsia" w:ascii="仿宋_GB2312" w:hAnsi="仿宋_GB2312" w:eastAsia="仿宋_GB2312" w:cs="仿宋_GB2312"/>
          <w:b w:val="0"/>
          <w:bCs w:val="0"/>
          <w:i w:val="0"/>
          <w:iCs w:val="0"/>
          <w:sz w:val="32"/>
          <w:szCs w:val="32"/>
          <w:highlight w:val="none"/>
          <w:lang w:eastAsia="zh-CN"/>
        </w:rPr>
        <w:t>完成情况</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_Toc32381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9"/>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_Toc18018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第二部分 202</w:t>
      </w:r>
      <w:r>
        <w:rPr>
          <w:rFonts w:hint="eastAsia" w:ascii="仿宋_GB2312" w:hAnsi="仿宋_GB2312" w:eastAsia="仿宋_GB2312" w:cs="仿宋_GB2312"/>
          <w:b w:val="0"/>
          <w:bCs w:val="0"/>
          <w:i w:val="0"/>
          <w:iCs w:val="0"/>
          <w:sz w:val="32"/>
          <w:szCs w:val="32"/>
          <w:lang w:val="en-US" w:eastAsia="zh-CN"/>
        </w:rPr>
        <w:t>1</w:t>
      </w:r>
      <w:r>
        <w:rPr>
          <w:rFonts w:hint="eastAsia" w:ascii="仿宋_GB2312" w:hAnsi="仿宋_GB2312" w:eastAsia="仿宋_GB2312" w:cs="仿宋_GB2312"/>
          <w:b w:val="0"/>
          <w:bCs w:val="0"/>
          <w:i w:val="0"/>
          <w:iCs w:val="0"/>
          <w:sz w:val="32"/>
          <w:szCs w:val="32"/>
        </w:rPr>
        <w:t>年度</w:t>
      </w:r>
      <w:r>
        <w:rPr>
          <w:rFonts w:hint="eastAsia" w:ascii="仿宋_GB2312" w:hAnsi="仿宋_GB2312" w:eastAsia="仿宋_GB2312" w:cs="仿宋_GB2312"/>
          <w:b w:val="0"/>
          <w:bCs w:val="0"/>
          <w:i w:val="0"/>
          <w:iCs w:val="0"/>
          <w:sz w:val="32"/>
          <w:szCs w:val="32"/>
          <w:lang w:val="en-US" w:eastAsia="zh-CN"/>
        </w:rPr>
        <w:t>单位</w:t>
      </w:r>
      <w:r>
        <w:rPr>
          <w:rFonts w:hint="eastAsia" w:ascii="仿宋_GB2312" w:hAnsi="仿宋_GB2312" w:eastAsia="仿宋_GB2312" w:cs="仿宋_GB2312"/>
          <w:b w:val="0"/>
          <w:bCs w:val="0"/>
          <w:i w:val="0"/>
          <w:iCs w:val="0"/>
          <w:sz w:val="32"/>
          <w:szCs w:val="32"/>
        </w:rPr>
        <w:t>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_Toc18018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4</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_Toc7398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一、 收入支出决算总体情况说明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_Toc7398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4</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_Toc24241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二、 收入决算情况说明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_Toc24241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4</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_Toc6526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三、 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_Toc6526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4</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_Toc14334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四、财政拨款收入支出决算总体情况说明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_Toc14334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5</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_Toc16755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五、一般公共预算财政拨款支出决算情况说明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_Toc16755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5</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_Toc16675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六、一般公共预算财政拨款基本支出决算情况说明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_Toc16675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7</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_Toc19737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七、“三公”经费财政拨款支出决算情况说明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_Toc19737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8</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_Toc10901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八、政府性基金预算支出决算情况说明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_Toc10901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10</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_Toc26293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九、 国有资本经营预算支出决算情况说明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_Toc26293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10</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_Toc27271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十、其他重要事项的情况说明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_Toc27271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10</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9"/>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_Toc21676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第三部分 名词解释</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_Toc21676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12</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9"/>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_Toc6879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第四部分 附件</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_Toc6879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15</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_Toc18966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附件</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_Toc18966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15</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9"/>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_Toc18418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第五部分 附表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_Toc18418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_Toc14600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一、收入支出决算总表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_Toc14600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_Toc15925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二、收入决算表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_Toc15925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_Toc7187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三、支出决算表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_Toc7187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_Toc5686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四、财政拨款收入支出决算总表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_Toc5686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_Toc6343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五、财政拨款支出决算明细表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_Toc6343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_Toc31131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六、一般公共预算财政拨款支出决算表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_Toc31131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_Toc11064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七、一般公共预算财政拨款支出决算明细表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_Toc11064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_Toc12549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八、一般公共预算财政拨款基本支出决算表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_Toc12549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_Toc19168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九、一般公共预算财政拨款项目支出决算表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_Toc19168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_Toc18941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十、一般公共预算财政拨款“三公”经费支出决算表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_Toc18941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_Toc15180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十一、政府性基金预算财政拨款收入支出决算表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_Toc15180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_Toc23897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十二、政府性基金预算财政拨款“三公”经费支出决算表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_Toc23897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_Toc3960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十三、国有资本经营预算财政拨款收入支出决算表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_Toc3960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_Toc441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十四、国有资本经营预算财政拨款支出决算表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_Toc441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2400" w:firstLineChars="750"/>
        <w:textAlignment w:val="auto"/>
        <w:rPr>
          <w:rFonts w:hint="eastAsia" w:ascii="仿宋_GB2312" w:hAnsi="仿宋"/>
          <w:color w:val="FF0000"/>
          <w:szCs w:val="32"/>
        </w:rPr>
      </w:pPr>
      <w:r>
        <w:rPr>
          <w:rFonts w:hint="eastAsia" w:ascii="仿宋_GB2312" w:hAnsi="仿宋_GB2312" w:eastAsia="仿宋_GB2312" w:cs="仿宋_GB2312"/>
          <w:b w:val="0"/>
          <w:bCs w:val="0"/>
          <w:i w:val="0"/>
          <w:iCs w:val="0"/>
          <w:caps/>
          <w:sz w:val="32"/>
          <w:szCs w:val="32"/>
        </w:rPr>
        <w:fldChar w:fldCharType="end"/>
      </w:r>
    </w:p>
    <w:p>
      <w:r>
        <w:br w:type="page"/>
      </w:r>
    </w:p>
    <w:p>
      <w:pPr>
        <w:pStyle w:val="3"/>
        <w:jc w:val="center"/>
        <w:rPr>
          <w:rStyle w:val="16"/>
          <w:rFonts w:ascii="黑体" w:hAnsi="黑体" w:eastAsia="黑体"/>
          <w:b/>
          <w:bCs w:val="0"/>
        </w:rPr>
      </w:pPr>
      <w:bookmarkStart w:id="0" w:name="_Toc7175"/>
      <w:r>
        <w:rPr>
          <w:rFonts w:hint="eastAsia" w:ascii="黑体" w:hAnsi="黑体" w:eastAsia="黑体"/>
          <w:b w:val="0"/>
        </w:rPr>
        <w:t>第一部分</w:t>
      </w:r>
      <w:r>
        <w:rPr>
          <w:rFonts w:ascii="黑体" w:hAnsi="黑体" w:eastAsia="黑体"/>
          <w:b w:val="0"/>
        </w:rPr>
        <w:t xml:space="preserve"> </w:t>
      </w:r>
      <w:r>
        <w:rPr>
          <w:rStyle w:val="16"/>
          <w:rFonts w:hint="eastAsia" w:ascii="黑体" w:hAnsi="黑体" w:eastAsia="黑体"/>
          <w:b w:val="0"/>
          <w:bCs w:val="0"/>
          <w:lang w:val="en-US" w:eastAsia="zh-CN"/>
        </w:rPr>
        <w:t>单位</w:t>
      </w:r>
      <w:r>
        <w:rPr>
          <w:rStyle w:val="16"/>
          <w:rFonts w:hint="eastAsia" w:ascii="黑体" w:hAnsi="黑体" w:eastAsia="黑体"/>
          <w:b w:val="0"/>
          <w:bCs w:val="0"/>
        </w:rPr>
        <w:t>概况</w:t>
      </w:r>
      <w:bookmarkEnd w:id="0"/>
    </w:p>
    <w:p>
      <w:pPr>
        <w:widowControl/>
        <w:jc w:val="left"/>
        <w:rPr>
          <w:rFonts w:ascii="黑体" w:eastAsia="黑体"/>
          <w:color w:val="000000"/>
          <w:sz w:val="32"/>
          <w:szCs w:val="32"/>
        </w:rPr>
      </w:pPr>
    </w:p>
    <w:p>
      <w:pPr>
        <w:pStyle w:val="4"/>
        <w:numPr>
          <w:ilvl w:val="0"/>
          <w:numId w:val="0"/>
        </w:numPr>
        <w:rPr>
          <w:rStyle w:val="20"/>
          <w:rFonts w:hint="eastAsia" w:ascii="黑体" w:hAnsi="黑体" w:eastAsia="黑体"/>
          <w:b w:val="0"/>
          <w:bCs w:val="0"/>
          <w:color w:val="auto"/>
          <w:highlight w:val="none"/>
          <w:lang w:eastAsia="zh-CN"/>
        </w:rPr>
      </w:pPr>
      <w:bookmarkStart w:id="1" w:name="_Toc3572"/>
      <w:bookmarkStart w:id="2" w:name="_Toc15377197"/>
      <w:bookmarkStart w:id="3" w:name="_Toc15396600"/>
      <w:r>
        <w:rPr>
          <w:rStyle w:val="20"/>
          <w:rFonts w:hint="eastAsia" w:ascii="黑体" w:hAnsi="黑体" w:eastAsia="黑体"/>
          <w:b w:val="0"/>
          <w:bCs w:val="0"/>
          <w:color w:val="auto"/>
          <w:highlight w:val="none"/>
          <w:lang w:eastAsia="zh-CN"/>
        </w:rPr>
        <w:t>一、</w:t>
      </w:r>
      <w:r>
        <w:rPr>
          <w:rStyle w:val="20"/>
          <w:rFonts w:hint="eastAsia" w:ascii="黑体" w:hAnsi="黑体" w:eastAsia="黑体"/>
          <w:b w:val="0"/>
          <w:bCs w:val="0"/>
          <w:color w:val="auto"/>
          <w:highlight w:val="none"/>
        </w:rPr>
        <w:t>职能</w:t>
      </w:r>
      <w:r>
        <w:rPr>
          <w:rStyle w:val="20"/>
          <w:rFonts w:hint="eastAsia" w:ascii="黑体" w:hAnsi="黑体" w:eastAsia="黑体"/>
          <w:b w:val="0"/>
          <w:bCs w:val="0"/>
          <w:color w:val="auto"/>
          <w:highlight w:val="none"/>
          <w:lang w:eastAsia="zh-CN"/>
        </w:rPr>
        <w:t>简介</w:t>
      </w:r>
      <w:bookmarkEnd w:id="1"/>
    </w:p>
    <w:p>
      <w:pPr>
        <w:numPr>
          <w:ilvl w:val="0"/>
          <w:numId w:val="0"/>
        </w:numPr>
        <w:jc w:val="both"/>
        <w:rPr>
          <w:rFonts w:hint="eastAsia" w:ascii="仿宋_GB2312" w:hAnsi="仿宋_GB2312" w:eastAsia="仿宋_GB2312" w:cs="仿宋_GB2312"/>
          <w:b w:val="0"/>
          <w:bCs w:val="0"/>
          <w:sz w:val="32"/>
          <w:szCs w:val="32"/>
          <w:lang w:val="en-US" w:eastAsia="zh-CN"/>
        </w:rPr>
      </w:pPr>
      <w:bookmarkStart w:id="4" w:name="_Toc32381"/>
      <w:r>
        <w:rPr>
          <w:rFonts w:hint="eastAsia" w:ascii="仿宋_GB2312" w:hAnsi="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US" w:eastAsia="zh-CN"/>
        </w:rPr>
        <w:t>负责制定全市法学会研究规划、计划，并组织实施。</w:t>
      </w:r>
    </w:p>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参与法制宣传和法学教育，培养法学、法律人才。</w:t>
      </w:r>
    </w:p>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为党委政府行使职能提供法律咨询方面的支持保障。</w:t>
      </w:r>
    </w:p>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en-US" w:eastAsia="zh-CN"/>
        </w:rPr>
        <w:t>负责对法学会会员的管理。</w:t>
      </w:r>
    </w:p>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5.</w:t>
      </w:r>
      <w:r>
        <w:rPr>
          <w:rFonts w:hint="eastAsia" w:ascii="仿宋_GB2312" w:hAnsi="仿宋_GB2312" w:eastAsia="仿宋_GB2312" w:cs="仿宋_GB2312"/>
          <w:b w:val="0"/>
          <w:bCs w:val="0"/>
          <w:sz w:val="32"/>
          <w:szCs w:val="32"/>
          <w:lang w:val="en-US" w:eastAsia="zh-CN"/>
        </w:rPr>
        <w:t>承办上级主管部门交办的其他事项。</w:t>
      </w:r>
    </w:p>
    <w:p>
      <w:pPr>
        <w:pStyle w:val="4"/>
        <w:numPr>
          <w:ilvl w:val="0"/>
          <w:numId w:val="0"/>
        </w:numPr>
        <w:rPr>
          <w:rFonts w:hint="eastAsia" w:ascii="黑体" w:hAnsi="黑体" w:eastAsia="黑体"/>
          <w:b w:val="0"/>
          <w:color w:val="auto"/>
          <w:highlight w:val="none"/>
          <w:lang w:eastAsia="zh-CN"/>
        </w:rPr>
      </w:pPr>
      <w:r>
        <w:rPr>
          <w:rFonts w:hint="eastAsia" w:ascii="黑体" w:hAnsi="黑体" w:eastAsia="黑体"/>
          <w:b w:val="0"/>
          <w:color w:val="auto"/>
          <w:highlight w:val="none"/>
          <w:lang w:val="en-US" w:eastAsia="zh-CN"/>
        </w:rPr>
        <w:t>二、2021年重点</w:t>
      </w:r>
      <w:r>
        <w:rPr>
          <w:rFonts w:hint="eastAsia" w:ascii="黑体" w:hAnsi="黑体" w:eastAsia="黑体"/>
          <w:b w:val="0"/>
          <w:color w:val="auto"/>
          <w:highlight w:val="none"/>
        </w:rPr>
        <w:t>工作</w:t>
      </w:r>
      <w:bookmarkEnd w:id="2"/>
      <w:bookmarkEnd w:id="3"/>
      <w:r>
        <w:rPr>
          <w:rFonts w:hint="eastAsia" w:ascii="黑体" w:hAnsi="黑体" w:eastAsia="黑体"/>
          <w:b w:val="0"/>
          <w:color w:val="auto"/>
          <w:highlight w:val="none"/>
          <w:lang w:eastAsia="zh-CN"/>
        </w:rPr>
        <w:t>完成情况</w:t>
      </w:r>
      <w:bookmarkEnd w:id="4"/>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认真学习贯彻</w:t>
      </w:r>
      <w:r>
        <w:rPr>
          <w:rFonts w:hint="eastAsia" w:ascii="仿宋_GB2312" w:hAnsi="仿宋_GB2312" w:cs="仿宋_GB2312"/>
          <w:bCs/>
          <w:sz w:val="32"/>
          <w:szCs w:val="32"/>
          <w:lang w:eastAsia="zh-CN"/>
        </w:rPr>
        <w:t>党的</w:t>
      </w:r>
      <w:r>
        <w:rPr>
          <w:rFonts w:hint="eastAsia" w:ascii="仿宋_GB2312" w:hAnsi="仿宋_GB2312" w:eastAsia="仿宋_GB2312" w:cs="仿宋_GB2312"/>
          <w:bCs/>
          <w:sz w:val="32"/>
          <w:szCs w:val="32"/>
        </w:rPr>
        <w:t>十九届五中全会精神和中办文件要求，服务“十四五”规划发展目标，全力实施法治人才培养行动，组织开展“自贡市十大中青年法学人才”评选活动，打造“法检+学校+社区”三位一体的法治教育实践基地；持续组织繁荣法学研究行动，加强课题研究、论坛交流、成果转化；重点开展法治服务实践行动，全面推进“双百”和“基层行”系列活动，推进法学会之家和“三级法律服务平台”规范化建设，推广“三级平安微信群”，打造“一县一品N特色”，开展“法律服务七进”活动，完善决策咨询立法论证、执法监督、法治评估等机制，持续优化营商环境；强化法治宣传，办好《自贡政法》期刊及大型普法栏目《百姓看法》，提高法学会影响力。</w:t>
      </w:r>
    </w:p>
    <w:p>
      <w:pPr>
        <w:rPr>
          <w:rFonts w:hint="eastAsia"/>
        </w:rPr>
      </w:pPr>
    </w:p>
    <w:p>
      <w:pPr>
        <w:widowControl/>
        <w:jc w:val="left"/>
        <w:rPr>
          <w:rFonts w:ascii="仿宋" w:hAnsi="仿宋" w:eastAsia="仿宋"/>
          <w:color w:val="000000"/>
          <w:kern w:val="0"/>
          <w:sz w:val="32"/>
          <w:szCs w:val="32"/>
        </w:rPr>
      </w:pPr>
    </w:p>
    <w:p>
      <w:pPr>
        <w:rPr>
          <w:rFonts w:hint="eastAsia" w:ascii="黑体" w:hAnsi="黑体" w:eastAsia="黑体"/>
          <w:b w:val="0"/>
          <w:color w:val="000000"/>
        </w:rPr>
      </w:pPr>
      <w:bookmarkStart w:id="5" w:name="_Toc15396602"/>
      <w:bookmarkStart w:id="6" w:name="_Toc15377204"/>
      <w:r>
        <w:rPr>
          <w:rFonts w:hint="eastAsia" w:ascii="黑体" w:hAnsi="黑体" w:eastAsia="黑体"/>
          <w:b w:val="0"/>
          <w:color w:val="000000"/>
        </w:rPr>
        <w:br w:type="page"/>
      </w:r>
    </w:p>
    <w:p>
      <w:pPr>
        <w:pStyle w:val="3"/>
        <w:ind w:right="440"/>
        <w:jc w:val="right"/>
        <w:rPr>
          <w:rStyle w:val="16"/>
          <w:rFonts w:ascii="黑体" w:hAnsi="黑体" w:eastAsia="黑体"/>
          <w:b w:val="0"/>
          <w:bCs w:val="0"/>
        </w:rPr>
      </w:pPr>
      <w:bookmarkStart w:id="7" w:name="_Toc18018"/>
      <w:r>
        <w:rPr>
          <w:rFonts w:hint="eastAsia" w:ascii="黑体" w:hAnsi="黑体" w:eastAsia="黑体"/>
          <w:b w:val="0"/>
          <w:color w:val="000000"/>
        </w:rPr>
        <w:t>第二部分</w:t>
      </w:r>
      <w:r>
        <w:rPr>
          <w:rFonts w:ascii="黑体" w:hAnsi="黑体" w:eastAsia="黑体"/>
          <w:color w:val="000000"/>
        </w:rPr>
        <w:t xml:space="preserve"> </w:t>
      </w:r>
      <w:r>
        <w:rPr>
          <w:rStyle w:val="16"/>
          <w:rFonts w:ascii="黑体" w:hAnsi="黑体" w:eastAsia="黑体"/>
          <w:b w:val="0"/>
          <w:bCs w:val="0"/>
        </w:rPr>
        <w:t>202</w:t>
      </w:r>
      <w:r>
        <w:rPr>
          <w:rStyle w:val="16"/>
          <w:rFonts w:hint="eastAsia" w:ascii="黑体" w:hAnsi="黑体" w:eastAsia="黑体"/>
          <w:b w:val="0"/>
          <w:bCs w:val="0"/>
          <w:lang w:val="en-US" w:eastAsia="zh-CN"/>
        </w:rPr>
        <w:t>1</w:t>
      </w:r>
      <w:r>
        <w:rPr>
          <w:rStyle w:val="16"/>
          <w:rFonts w:hint="eastAsia" w:ascii="黑体" w:hAnsi="黑体" w:eastAsia="黑体"/>
          <w:b w:val="0"/>
          <w:bCs w:val="0"/>
        </w:rPr>
        <w:t>年度</w:t>
      </w:r>
      <w:r>
        <w:rPr>
          <w:rStyle w:val="16"/>
          <w:rFonts w:hint="eastAsia" w:ascii="黑体" w:hAnsi="黑体" w:eastAsia="黑体"/>
          <w:b w:val="0"/>
          <w:bCs w:val="0"/>
          <w:lang w:val="en-US" w:eastAsia="zh-CN"/>
        </w:rPr>
        <w:t>单位</w:t>
      </w:r>
      <w:r>
        <w:rPr>
          <w:rStyle w:val="16"/>
          <w:rFonts w:hint="eastAsia" w:ascii="黑体" w:hAnsi="黑体" w:eastAsia="黑体"/>
          <w:b w:val="0"/>
          <w:bCs w:val="0"/>
        </w:rPr>
        <w:t>决算情况说明</w:t>
      </w:r>
      <w:bookmarkEnd w:id="5"/>
      <w:bookmarkEnd w:id="6"/>
      <w:bookmarkEnd w:id="7"/>
    </w:p>
    <w:p/>
    <w:p>
      <w:pPr>
        <w:pStyle w:val="18"/>
        <w:numPr>
          <w:ilvl w:val="0"/>
          <w:numId w:val="1"/>
        </w:numPr>
        <w:spacing w:line="600" w:lineRule="exact"/>
        <w:ind w:firstLineChars="0"/>
        <w:outlineLvl w:val="1"/>
        <w:rPr>
          <w:rStyle w:val="17"/>
          <w:rFonts w:ascii="黑体" w:hAnsi="黑体" w:eastAsia="黑体"/>
          <w:b w:val="0"/>
        </w:rPr>
      </w:pPr>
      <w:bookmarkStart w:id="8" w:name="_Toc15377205"/>
      <w:bookmarkStart w:id="9" w:name="_Toc7398"/>
      <w:bookmarkStart w:id="10" w:name="_Toc15396603"/>
      <w:r>
        <w:rPr>
          <w:rFonts w:hint="eastAsia" w:ascii="黑体" w:hAnsi="黑体" w:eastAsia="黑体"/>
          <w:color w:val="000000"/>
          <w:sz w:val="32"/>
          <w:szCs w:val="32"/>
        </w:rPr>
        <w:t>收</w:t>
      </w:r>
      <w:r>
        <w:rPr>
          <w:rStyle w:val="17"/>
          <w:rFonts w:hint="eastAsia" w:ascii="黑体" w:hAnsi="黑体" w:eastAsia="黑体"/>
          <w:b w:val="0"/>
        </w:rPr>
        <w:t>入支出决算总体情况说明</w:t>
      </w:r>
      <w:bookmarkEnd w:id="8"/>
      <w:bookmarkEnd w:id="9"/>
      <w:bookmarkEnd w:id="10"/>
    </w:p>
    <w:p>
      <w:pPr>
        <w:spacing w:line="560" w:lineRule="exact"/>
        <w:ind w:firstLine="640" w:firstLineChars="200"/>
        <w:rPr>
          <w:rFonts w:hint="eastAsia" w:ascii="仿宋" w:hAnsi="仿宋" w:eastAsia="仿宋"/>
          <w:color w:val="000000"/>
          <w:szCs w:val="32"/>
          <w:lang w:eastAsia="zh-CN"/>
        </w:rPr>
      </w:pPr>
      <w:bookmarkStart w:id="11" w:name="_Toc15377206"/>
      <w:bookmarkStart w:id="12" w:name="_Toc15396604"/>
      <w:bookmarkStart w:id="13" w:name="_Toc24241"/>
      <w:r>
        <w:rPr>
          <w:rFonts w:hint="eastAsia" w:ascii="仿宋" w:hAnsi="仿宋" w:eastAsia="仿宋"/>
          <w:color w:val="000000"/>
          <w:szCs w:val="32"/>
          <w:lang w:eastAsia="zh-CN"/>
        </w:rPr>
        <w:t>2021</w:t>
      </w:r>
      <w:r>
        <w:rPr>
          <w:rFonts w:hint="eastAsia" w:ascii="仿宋" w:hAnsi="仿宋" w:eastAsia="仿宋"/>
          <w:color w:val="000000"/>
          <w:szCs w:val="32"/>
        </w:rPr>
        <w:t>年度收、支</w:t>
      </w:r>
      <w:r>
        <w:rPr>
          <w:rFonts w:hint="eastAsia" w:ascii="仿宋" w:hAnsi="仿宋" w:eastAsia="仿宋"/>
          <w:color w:val="000000"/>
          <w:szCs w:val="32"/>
          <w:lang w:eastAsia="zh-CN"/>
        </w:rPr>
        <w:t>分别</w:t>
      </w:r>
      <w:r>
        <w:rPr>
          <w:rFonts w:hint="eastAsia" w:ascii="仿宋" w:hAnsi="仿宋" w:eastAsia="仿宋"/>
          <w:color w:val="000000"/>
          <w:szCs w:val="32"/>
        </w:rPr>
        <w:t>总计</w:t>
      </w:r>
      <w:r>
        <w:rPr>
          <w:rFonts w:hint="eastAsia" w:ascii="仿宋" w:hAnsi="仿宋" w:eastAsia="仿宋"/>
          <w:color w:val="000000"/>
          <w:szCs w:val="32"/>
          <w:lang w:val="en-US" w:eastAsia="zh-CN"/>
        </w:rPr>
        <w:t>107.53</w:t>
      </w:r>
      <w:r>
        <w:rPr>
          <w:rFonts w:hint="eastAsia" w:ascii="仿宋" w:hAnsi="仿宋" w:eastAsia="仿宋"/>
          <w:color w:val="000000"/>
          <w:szCs w:val="32"/>
        </w:rPr>
        <w:t>万元。与2019年相比，收、支总计各</w:t>
      </w:r>
      <w:r>
        <w:rPr>
          <w:rFonts w:hint="eastAsia" w:ascii="仿宋" w:hAnsi="仿宋" w:eastAsia="仿宋"/>
          <w:szCs w:val="32"/>
        </w:rPr>
        <w:t>增加</w:t>
      </w:r>
      <w:r>
        <w:rPr>
          <w:rFonts w:hint="eastAsia" w:ascii="仿宋" w:hAnsi="仿宋" w:eastAsia="仿宋"/>
          <w:szCs w:val="32"/>
          <w:lang w:val="en-US" w:eastAsia="zh-CN"/>
        </w:rPr>
        <w:t>8.73</w:t>
      </w:r>
      <w:r>
        <w:rPr>
          <w:rFonts w:hint="eastAsia" w:ascii="仿宋" w:hAnsi="仿宋" w:eastAsia="仿宋"/>
          <w:color w:val="000000"/>
          <w:szCs w:val="32"/>
        </w:rPr>
        <w:t>万元，增长</w:t>
      </w:r>
      <w:r>
        <w:rPr>
          <w:rFonts w:hint="eastAsia" w:ascii="仿宋" w:hAnsi="仿宋" w:eastAsia="仿宋"/>
          <w:color w:val="000000"/>
          <w:szCs w:val="32"/>
          <w:lang w:val="en-US" w:eastAsia="zh-CN"/>
        </w:rPr>
        <w:t>8.12</w:t>
      </w:r>
      <w:r>
        <w:rPr>
          <w:rFonts w:hint="eastAsia" w:ascii="仿宋" w:hAnsi="仿宋" w:eastAsia="仿宋"/>
          <w:color w:val="000000"/>
          <w:szCs w:val="32"/>
        </w:rPr>
        <w:t>%。主要变动原因是</w:t>
      </w:r>
      <w:r>
        <w:rPr>
          <w:rFonts w:hint="eastAsia" w:ascii="仿宋" w:hAnsi="仿宋" w:eastAsia="仿宋"/>
          <w:color w:val="000000"/>
          <w:szCs w:val="32"/>
          <w:lang w:eastAsia="zh-CN"/>
        </w:rPr>
        <w:t>有新进人员。</w:t>
      </w:r>
    </w:p>
    <w:p>
      <w:pPr>
        <w:pStyle w:val="5"/>
        <w:ind w:left="0" w:leftChars="0" w:firstLine="0" w:firstLineChars="0"/>
      </w:pPr>
      <w:r>
        <w:rPr>
          <w:rFonts w:hint="eastAsia"/>
          <w:lang w:val="en-US" w:eastAsia="zh-CN"/>
        </w:rPr>
        <w:t xml:space="preserve">          </w:t>
      </w:r>
      <w:r>
        <w:rPr>
          <w:rFonts w:hint="eastAsia" w:eastAsia="仿宋_GB2312"/>
          <w:lang w:eastAsia="zh-CN"/>
        </w:rPr>
        <w:drawing>
          <wp:inline distT="0" distB="0" distL="114300" distR="114300">
            <wp:extent cx="3246120" cy="2573020"/>
            <wp:effectExtent l="4445" t="4445" r="6985" b="1333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18"/>
        <w:numPr>
          <w:ilvl w:val="0"/>
          <w:numId w:val="1"/>
        </w:numPr>
        <w:spacing w:line="600" w:lineRule="exact"/>
        <w:ind w:firstLineChars="0"/>
        <w:outlineLvl w:val="1"/>
        <w:rPr>
          <w:rStyle w:val="17"/>
          <w:rFonts w:ascii="黑体" w:hAnsi="黑体" w:eastAsia="黑体"/>
          <w:b w:val="0"/>
        </w:rPr>
      </w:pPr>
      <w:r>
        <w:rPr>
          <w:rFonts w:hint="eastAsia" w:ascii="黑体" w:hAnsi="黑体" w:eastAsia="黑体"/>
          <w:color w:val="000000"/>
          <w:sz w:val="32"/>
          <w:szCs w:val="32"/>
        </w:rPr>
        <w:t>收</w:t>
      </w:r>
      <w:r>
        <w:rPr>
          <w:rStyle w:val="17"/>
          <w:rFonts w:hint="eastAsia" w:ascii="黑体" w:hAnsi="黑体" w:eastAsia="黑体"/>
          <w:b w:val="0"/>
        </w:rPr>
        <w:t>入决算情况说明</w:t>
      </w:r>
      <w:bookmarkEnd w:id="11"/>
      <w:bookmarkEnd w:id="12"/>
      <w:bookmarkEnd w:id="13"/>
    </w:p>
    <w:p>
      <w:pPr>
        <w:spacing w:line="600" w:lineRule="exact"/>
        <w:ind w:firstLine="640" w:firstLineChars="200"/>
        <w:outlineLvl w:val="9"/>
        <w:rPr>
          <w:rFonts w:hint="eastAsia" w:ascii="仿宋" w:hAnsi="仿宋" w:eastAsia="仿宋"/>
          <w:color w:val="000000"/>
          <w:sz w:val="32"/>
          <w:szCs w:val="32"/>
        </w:rPr>
      </w:pPr>
      <w:bookmarkStart w:id="14" w:name="_Toc6526"/>
      <w:bookmarkStart w:id="15" w:name="_Toc15396605"/>
      <w:bookmarkStart w:id="16" w:name="_Toc15377207"/>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年本年收入合计</w:t>
      </w:r>
      <w:r>
        <w:rPr>
          <w:rFonts w:hint="eastAsia" w:ascii="仿宋" w:hAnsi="仿宋" w:eastAsia="仿宋"/>
          <w:color w:val="000000"/>
          <w:szCs w:val="32"/>
          <w:lang w:val="en-US" w:eastAsia="zh-CN"/>
        </w:rPr>
        <w:t>107.53</w:t>
      </w:r>
      <w:r>
        <w:rPr>
          <w:rFonts w:hint="eastAsia" w:ascii="仿宋" w:hAnsi="仿宋" w:eastAsia="仿宋"/>
          <w:color w:val="000000"/>
          <w:sz w:val="32"/>
          <w:szCs w:val="32"/>
        </w:rPr>
        <w:t>万元，其中：一般公共预算财政拨款收入</w:t>
      </w:r>
      <w:r>
        <w:rPr>
          <w:rFonts w:hint="eastAsia" w:ascii="仿宋" w:hAnsi="仿宋" w:eastAsia="仿宋"/>
          <w:color w:val="000000"/>
          <w:szCs w:val="32"/>
          <w:lang w:val="en-US" w:eastAsia="zh-CN"/>
        </w:rPr>
        <w:t>107.53</w:t>
      </w:r>
      <w:r>
        <w:rPr>
          <w:rFonts w:hint="eastAsia" w:ascii="仿宋" w:hAnsi="仿宋" w:eastAsia="仿宋"/>
          <w:color w:val="000000"/>
          <w:sz w:val="32"/>
          <w:szCs w:val="32"/>
        </w:rPr>
        <w:t>万元，占</w:t>
      </w:r>
      <w:r>
        <w:rPr>
          <w:rFonts w:hint="eastAsia" w:ascii="仿宋" w:hAnsi="仿宋" w:eastAsia="仿宋"/>
          <w:color w:val="000000"/>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Cs w:val="32"/>
        </w:rPr>
        <w:t>年初财政拨款结转和结余</w:t>
      </w:r>
      <w:r>
        <w:rPr>
          <w:rFonts w:hint="eastAsia" w:ascii="仿宋" w:hAnsi="仿宋" w:eastAsia="仿宋"/>
          <w:color w:val="000000"/>
          <w:szCs w:val="32"/>
          <w:lang w:val="en-US" w:eastAsia="zh-CN"/>
        </w:rPr>
        <w:t>0</w:t>
      </w:r>
      <w:r>
        <w:rPr>
          <w:rFonts w:hint="eastAsia" w:ascii="仿宋" w:hAnsi="仿宋" w:eastAsia="仿宋"/>
          <w:color w:val="000000"/>
          <w:szCs w:val="32"/>
        </w:rPr>
        <w:t>万元，</w:t>
      </w:r>
      <w:r>
        <w:rPr>
          <w:rFonts w:hint="eastAsia" w:ascii="仿宋" w:hAnsi="仿宋" w:eastAsia="仿宋"/>
          <w:color w:val="000000"/>
          <w:szCs w:val="32"/>
          <w:lang w:val="en-US" w:eastAsia="zh-CN"/>
        </w:rPr>
        <w:t>0</w:t>
      </w:r>
      <w:r>
        <w:rPr>
          <w:rFonts w:hint="eastAsia" w:ascii="仿宋" w:hAnsi="仿宋" w:eastAsia="仿宋"/>
          <w:color w:val="000000"/>
          <w:szCs w:val="32"/>
        </w:rPr>
        <w:t>占%；</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000000"/>
          <w:sz w:val="32"/>
          <w:szCs w:val="32"/>
        </w:rPr>
        <w:t>上级补助收入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pStyle w:val="2"/>
        <w:rPr>
          <w:rFonts w:hint="eastAsia"/>
        </w:rPr>
      </w:pPr>
      <w:r>
        <w:rPr>
          <w:rFonts w:hint="eastAsia"/>
          <w:lang w:val="en-US" w:eastAsia="zh-CN"/>
        </w:rPr>
        <w:t xml:space="preserve">         </w:t>
      </w:r>
      <w:r>
        <w:rPr>
          <w:rFonts w:hint="eastAsia" w:eastAsia="仿宋_GB2312"/>
          <w:lang w:eastAsia="zh-CN"/>
        </w:rPr>
        <w:drawing>
          <wp:inline distT="0" distB="0" distL="114300" distR="114300">
            <wp:extent cx="3568065" cy="2512695"/>
            <wp:effectExtent l="4445" t="4445" r="8890" b="1651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18"/>
        <w:numPr>
          <w:ilvl w:val="0"/>
          <w:numId w:val="1"/>
        </w:numPr>
        <w:spacing w:line="600" w:lineRule="exact"/>
        <w:ind w:firstLineChars="0"/>
        <w:outlineLvl w:val="1"/>
        <w:rPr>
          <w:rStyle w:val="17"/>
          <w:rFonts w:ascii="黑体" w:hAnsi="黑体" w:eastAsia="黑体"/>
          <w:b w:val="0"/>
        </w:rPr>
      </w:pPr>
      <w:r>
        <w:rPr>
          <w:rFonts w:hint="eastAsia" w:ascii="黑体" w:hAnsi="黑体" w:eastAsia="黑体"/>
          <w:color w:val="000000"/>
          <w:sz w:val="32"/>
          <w:szCs w:val="32"/>
        </w:rPr>
        <w:t>支</w:t>
      </w:r>
      <w:r>
        <w:rPr>
          <w:rStyle w:val="17"/>
          <w:rFonts w:hint="eastAsia" w:ascii="黑体" w:hAnsi="黑体" w:eastAsia="黑体"/>
          <w:b w:val="0"/>
        </w:rPr>
        <w:t>出决算情况说明</w:t>
      </w:r>
      <w:bookmarkEnd w:id="14"/>
      <w:bookmarkEnd w:id="15"/>
      <w:bookmarkEnd w:id="16"/>
    </w:p>
    <w:p>
      <w:pPr>
        <w:spacing w:line="600" w:lineRule="exact"/>
        <w:ind w:firstLine="640"/>
        <w:rPr>
          <w:rFonts w:ascii="仿宋" w:hAnsi="仿宋" w:eastAsia="仿宋"/>
          <w:color w:val="000000"/>
          <w:szCs w:val="32"/>
        </w:rPr>
      </w:pPr>
      <w:r>
        <w:rPr>
          <w:rFonts w:hint="eastAsia" w:ascii="仿宋" w:hAnsi="仿宋" w:eastAsia="仿宋"/>
          <w:color w:val="000000"/>
          <w:szCs w:val="32"/>
          <w:lang w:eastAsia="zh-CN"/>
        </w:rPr>
        <w:t>2021</w:t>
      </w:r>
      <w:r>
        <w:rPr>
          <w:rFonts w:hint="eastAsia" w:ascii="仿宋" w:hAnsi="仿宋" w:eastAsia="仿宋"/>
          <w:color w:val="000000"/>
          <w:szCs w:val="32"/>
        </w:rPr>
        <w:t>年本年支出合计</w:t>
      </w:r>
      <w:r>
        <w:rPr>
          <w:rFonts w:hint="eastAsia" w:ascii="仿宋" w:hAnsi="仿宋" w:eastAsia="仿宋"/>
          <w:color w:val="000000"/>
          <w:szCs w:val="32"/>
          <w:lang w:val="en-US" w:eastAsia="zh-CN"/>
        </w:rPr>
        <w:t>107.53</w:t>
      </w:r>
      <w:r>
        <w:rPr>
          <w:rFonts w:hint="eastAsia" w:ascii="仿宋" w:hAnsi="仿宋" w:eastAsia="仿宋"/>
          <w:color w:val="000000"/>
          <w:szCs w:val="32"/>
        </w:rPr>
        <w:t>万元，其中：</w:t>
      </w:r>
      <w:r>
        <w:rPr>
          <w:rFonts w:hint="eastAsia" w:ascii="仿宋_GB2312" w:hAnsi="仿宋"/>
          <w:color w:val="000000"/>
          <w:szCs w:val="32"/>
        </w:rPr>
        <w:t>基本支出</w:t>
      </w:r>
      <w:r>
        <w:rPr>
          <w:rFonts w:hint="eastAsia" w:ascii="仿宋_GB2312" w:hAnsi="仿宋"/>
          <w:color w:val="000000"/>
          <w:szCs w:val="32"/>
          <w:lang w:val="en-US" w:eastAsia="zh-CN"/>
        </w:rPr>
        <w:t>67.83</w:t>
      </w:r>
      <w:r>
        <w:rPr>
          <w:rFonts w:hint="eastAsia" w:ascii="仿宋_GB2312" w:hAnsi="仿宋"/>
          <w:color w:val="000000"/>
          <w:szCs w:val="32"/>
        </w:rPr>
        <w:t>万元，</w:t>
      </w:r>
      <w:r>
        <w:rPr>
          <w:rFonts w:hint="eastAsia" w:ascii="仿宋_GB2312" w:hAnsi="仿宋"/>
          <w:color w:val="000000"/>
          <w:szCs w:val="32"/>
          <w:lang w:val="en-US" w:eastAsia="zh-CN"/>
        </w:rPr>
        <w:t>63.7</w:t>
      </w:r>
      <w:r>
        <w:rPr>
          <w:rFonts w:hint="eastAsia" w:ascii="仿宋_GB2312" w:hAnsi="仿宋"/>
          <w:color w:val="000000"/>
          <w:szCs w:val="32"/>
        </w:rPr>
        <w:t>占</w:t>
      </w:r>
      <w:r>
        <w:rPr>
          <w:rFonts w:ascii="仿宋_GB2312" w:hAnsi="仿宋"/>
          <w:color w:val="000000"/>
          <w:szCs w:val="32"/>
        </w:rPr>
        <w:t>%</w:t>
      </w:r>
      <w:r>
        <w:rPr>
          <w:rFonts w:hint="eastAsia" w:ascii="仿宋_GB2312" w:hAnsi="仿宋"/>
          <w:color w:val="000000"/>
          <w:szCs w:val="32"/>
        </w:rPr>
        <w:t>；项目支出</w:t>
      </w:r>
      <w:r>
        <w:rPr>
          <w:rFonts w:hint="eastAsia" w:ascii="仿宋_GB2312" w:hAnsi="仿宋"/>
          <w:color w:val="000000"/>
          <w:szCs w:val="32"/>
          <w:lang w:val="en-US" w:eastAsia="zh-CN"/>
        </w:rPr>
        <w:t>39.7</w:t>
      </w:r>
      <w:r>
        <w:rPr>
          <w:rFonts w:hint="eastAsia" w:ascii="仿宋_GB2312" w:hAnsi="仿宋"/>
          <w:color w:val="000000"/>
          <w:szCs w:val="32"/>
        </w:rPr>
        <w:t>万元，</w:t>
      </w:r>
      <w:r>
        <w:rPr>
          <w:rFonts w:hint="eastAsia" w:ascii="仿宋_GB2312" w:hAnsi="仿宋"/>
          <w:color w:val="000000"/>
          <w:szCs w:val="32"/>
          <w:lang w:val="en-US" w:eastAsia="zh-CN"/>
        </w:rPr>
        <w:t>36.3</w:t>
      </w:r>
      <w:r>
        <w:rPr>
          <w:rFonts w:hint="eastAsia" w:ascii="仿宋_GB2312" w:hAnsi="仿宋"/>
          <w:color w:val="000000"/>
          <w:szCs w:val="32"/>
        </w:rPr>
        <w:t>占</w:t>
      </w:r>
      <w:r>
        <w:rPr>
          <w:rFonts w:ascii="仿宋_GB2312" w:hAnsi="仿宋"/>
          <w:color w:val="000000"/>
          <w:szCs w:val="32"/>
        </w:rPr>
        <w:t>%</w:t>
      </w:r>
      <w:r>
        <w:rPr>
          <w:rFonts w:hint="eastAsia" w:ascii="仿宋" w:hAnsi="仿宋" w:eastAsia="仿宋"/>
          <w:color w:val="000000"/>
          <w:szCs w:val="32"/>
        </w:rPr>
        <w:t>；年末结转和结余</w:t>
      </w:r>
      <w:r>
        <w:rPr>
          <w:rFonts w:hint="eastAsia" w:ascii="仿宋_GB2312" w:hAnsi="仿宋" w:eastAsia="仿宋"/>
          <w:color w:val="000000"/>
          <w:szCs w:val="32"/>
          <w:lang w:val="en-US" w:eastAsia="zh-CN"/>
        </w:rPr>
        <w:t>0</w:t>
      </w:r>
      <w:r>
        <w:rPr>
          <w:rFonts w:hint="eastAsia" w:ascii="仿宋" w:hAnsi="仿宋" w:eastAsia="仿宋"/>
          <w:color w:val="000000"/>
          <w:szCs w:val="32"/>
        </w:rPr>
        <w:t>万元，占</w:t>
      </w:r>
      <w:r>
        <w:rPr>
          <w:rFonts w:hint="eastAsia" w:ascii="仿宋_GB2312" w:hAnsi="仿宋" w:eastAsia="仿宋"/>
          <w:color w:val="000000"/>
          <w:szCs w:val="32"/>
          <w:lang w:val="en-US" w:eastAsia="zh-CN"/>
        </w:rPr>
        <w:t>0</w:t>
      </w:r>
      <w:r>
        <w:rPr>
          <w:rFonts w:hint="eastAsia" w:ascii="仿宋_GB2312" w:hAnsi="仿宋"/>
          <w:color w:val="000000"/>
          <w:szCs w:val="32"/>
        </w:rPr>
        <w:t>%</w:t>
      </w:r>
      <w:r>
        <w:rPr>
          <w:rFonts w:hint="eastAsia" w:ascii="仿宋" w:hAnsi="仿宋" w:eastAsia="仿宋"/>
          <w:color w:val="000000"/>
          <w:szCs w:val="32"/>
        </w:rPr>
        <w:t>；上缴上级支出0万元，占0.00</w:t>
      </w:r>
      <w:r>
        <w:rPr>
          <w:rFonts w:ascii="仿宋" w:hAnsi="仿宋" w:eastAsia="仿宋"/>
          <w:color w:val="000000"/>
          <w:szCs w:val="32"/>
        </w:rPr>
        <w:t>%</w:t>
      </w:r>
      <w:r>
        <w:rPr>
          <w:rFonts w:hint="eastAsia" w:ascii="仿宋" w:hAnsi="仿宋" w:eastAsia="仿宋"/>
          <w:color w:val="000000"/>
          <w:szCs w:val="32"/>
        </w:rPr>
        <w:t>；经营支出0万元，占0.00</w:t>
      </w:r>
      <w:r>
        <w:rPr>
          <w:rFonts w:ascii="仿宋" w:hAnsi="仿宋" w:eastAsia="仿宋"/>
          <w:color w:val="000000"/>
          <w:szCs w:val="32"/>
        </w:rPr>
        <w:t>%</w:t>
      </w:r>
      <w:r>
        <w:rPr>
          <w:rFonts w:hint="eastAsia" w:ascii="仿宋" w:hAnsi="仿宋" w:eastAsia="仿宋"/>
          <w:color w:val="000000"/>
          <w:szCs w:val="32"/>
        </w:rPr>
        <w:t>；对附属单位补助支出0万元，占0.00</w:t>
      </w:r>
      <w:r>
        <w:rPr>
          <w:rFonts w:ascii="仿宋" w:hAnsi="仿宋" w:eastAsia="仿宋"/>
          <w:color w:val="000000"/>
          <w:szCs w:val="32"/>
        </w:rPr>
        <w:t>%</w:t>
      </w:r>
      <w:r>
        <w:rPr>
          <w:rFonts w:hint="eastAsia" w:ascii="仿宋" w:hAnsi="仿宋" w:eastAsia="仿宋"/>
          <w:color w:val="000000"/>
          <w:szCs w:val="32"/>
        </w:rPr>
        <w:t>。</w:t>
      </w:r>
    </w:p>
    <w:p>
      <w:pPr>
        <w:pStyle w:val="5"/>
        <w:ind w:left="0" w:leftChars="0" w:firstLine="0" w:firstLineChars="0"/>
        <w:rPr>
          <w:rFonts w:hint="eastAsia" w:eastAsia="仿宋_GB2312"/>
          <w:lang w:eastAsia="zh-CN"/>
        </w:rPr>
      </w:pPr>
      <w:r>
        <w:rPr>
          <w:rFonts w:hint="eastAsia"/>
          <w:lang w:val="en-US" w:eastAsia="zh-CN"/>
        </w:rPr>
        <w:t xml:space="preserve">       </w:t>
      </w:r>
      <w:r>
        <w:rPr>
          <w:rFonts w:hint="eastAsia" w:eastAsia="仿宋_GB2312"/>
          <w:lang w:eastAsia="zh-CN"/>
        </w:rPr>
        <w:drawing>
          <wp:inline distT="0" distB="0" distL="114300" distR="114300">
            <wp:extent cx="3449320" cy="2536190"/>
            <wp:effectExtent l="4445" t="5080" r="13335" b="1143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17"/>
          <w:rFonts w:ascii="黑体" w:hAnsi="黑体" w:eastAsia="黑体"/>
          <w:b w:val="0"/>
        </w:rPr>
      </w:pPr>
      <w:bookmarkStart w:id="17" w:name="_Toc15377208"/>
      <w:bookmarkStart w:id="18" w:name="_Toc15396606"/>
      <w:bookmarkStart w:id="19" w:name="_Toc14334"/>
      <w:r>
        <w:rPr>
          <w:rFonts w:hint="eastAsia" w:ascii="黑体" w:hAnsi="黑体" w:eastAsia="黑体"/>
          <w:color w:val="000000"/>
          <w:sz w:val="32"/>
          <w:szCs w:val="32"/>
        </w:rPr>
        <w:t>四、财</w:t>
      </w:r>
      <w:r>
        <w:rPr>
          <w:rStyle w:val="17"/>
          <w:rFonts w:hint="eastAsia" w:ascii="黑体" w:hAnsi="黑体" w:eastAsia="黑体"/>
          <w:b w:val="0"/>
        </w:rPr>
        <w:t>政拨款收入支出决算总体情况说明</w:t>
      </w:r>
      <w:bookmarkEnd w:id="17"/>
      <w:bookmarkEnd w:id="18"/>
      <w:bookmarkEnd w:id="19"/>
    </w:p>
    <w:p>
      <w:pPr>
        <w:spacing w:line="560" w:lineRule="exact"/>
        <w:ind w:firstLine="640" w:firstLineChars="200"/>
        <w:rPr>
          <w:rFonts w:hint="eastAsia" w:ascii="仿宋" w:hAnsi="仿宋" w:eastAsia="仿宋"/>
          <w:color w:val="000000"/>
          <w:szCs w:val="32"/>
          <w:lang w:eastAsia="zh-CN"/>
        </w:rPr>
      </w:pPr>
      <w:bookmarkStart w:id="20" w:name="_Toc16755"/>
      <w:bookmarkStart w:id="21" w:name="_Toc15396607"/>
      <w:bookmarkStart w:id="22" w:name="_Toc15377209"/>
      <w:r>
        <w:rPr>
          <w:rFonts w:hint="eastAsia" w:ascii="仿宋" w:hAnsi="仿宋" w:eastAsia="仿宋"/>
          <w:color w:val="000000"/>
          <w:szCs w:val="32"/>
          <w:lang w:eastAsia="zh-CN"/>
        </w:rPr>
        <w:t>2021</w:t>
      </w:r>
      <w:r>
        <w:rPr>
          <w:rFonts w:hint="eastAsia" w:ascii="仿宋" w:hAnsi="仿宋" w:eastAsia="仿宋"/>
          <w:color w:val="000000"/>
          <w:szCs w:val="32"/>
        </w:rPr>
        <w:t>年财政拨款收、</w:t>
      </w:r>
      <w:r>
        <w:rPr>
          <w:rFonts w:hint="eastAsia" w:ascii="仿宋" w:hAnsi="仿宋" w:eastAsia="仿宋"/>
          <w:szCs w:val="32"/>
        </w:rPr>
        <w:t>支</w:t>
      </w:r>
      <w:r>
        <w:rPr>
          <w:rFonts w:hint="eastAsia" w:ascii="仿宋" w:hAnsi="仿宋" w:eastAsia="仿宋"/>
          <w:szCs w:val="32"/>
          <w:lang w:eastAsia="zh-CN"/>
        </w:rPr>
        <w:t>分别</w:t>
      </w:r>
      <w:r>
        <w:rPr>
          <w:rFonts w:hint="eastAsia" w:ascii="仿宋" w:hAnsi="仿宋" w:eastAsia="仿宋"/>
          <w:szCs w:val="32"/>
        </w:rPr>
        <w:t>总计</w:t>
      </w:r>
      <w:r>
        <w:rPr>
          <w:rFonts w:hint="eastAsia" w:ascii="仿宋" w:hAnsi="仿宋" w:eastAsia="仿宋"/>
          <w:color w:val="000000"/>
          <w:szCs w:val="32"/>
          <w:lang w:val="en-US" w:eastAsia="zh-CN"/>
        </w:rPr>
        <w:t>107.53</w:t>
      </w:r>
      <w:r>
        <w:rPr>
          <w:rFonts w:hint="eastAsia" w:ascii="仿宋" w:hAnsi="仿宋" w:eastAsia="仿宋"/>
          <w:szCs w:val="32"/>
        </w:rPr>
        <w:t>万元。</w:t>
      </w:r>
      <w:r>
        <w:rPr>
          <w:rFonts w:hint="eastAsia" w:ascii="仿宋" w:hAnsi="仿宋" w:eastAsia="仿宋"/>
          <w:color w:val="000000"/>
          <w:szCs w:val="32"/>
        </w:rPr>
        <w:t>与2019年相比，收、支总计各</w:t>
      </w:r>
      <w:r>
        <w:rPr>
          <w:rFonts w:hint="eastAsia" w:ascii="仿宋" w:hAnsi="仿宋" w:eastAsia="仿宋"/>
          <w:szCs w:val="32"/>
        </w:rPr>
        <w:t>增加</w:t>
      </w:r>
      <w:r>
        <w:rPr>
          <w:rFonts w:hint="eastAsia" w:ascii="仿宋" w:hAnsi="仿宋" w:eastAsia="仿宋"/>
          <w:szCs w:val="32"/>
          <w:lang w:val="en-US" w:eastAsia="zh-CN"/>
        </w:rPr>
        <w:t>8.73</w:t>
      </w:r>
      <w:r>
        <w:rPr>
          <w:rFonts w:hint="eastAsia" w:ascii="仿宋" w:hAnsi="仿宋" w:eastAsia="仿宋"/>
          <w:color w:val="000000"/>
          <w:szCs w:val="32"/>
        </w:rPr>
        <w:t>万元，增长</w:t>
      </w:r>
      <w:r>
        <w:rPr>
          <w:rFonts w:hint="eastAsia" w:ascii="仿宋" w:hAnsi="仿宋" w:eastAsia="仿宋"/>
          <w:color w:val="000000"/>
          <w:szCs w:val="32"/>
          <w:lang w:val="en-US" w:eastAsia="zh-CN"/>
        </w:rPr>
        <w:t>8.12</w:t>
      </w:r>
      <w:r>
        <w:rPr>
          <w:rFonts w:hint="eastAsia" w:ascii="仿宋" w:hAnsi="仿宋" w:eastAsia="仿宋"/>
          <w:color w:val="000000"/>
          <w:szCs w:val="32"/>
        </w:rPr>
        <w:t>%。主要变动原因是</w:t>
      </w:r>
      <w:r>
        <w:rPr>
          <w:rFonts w:hint="eastAsia" w:ascii="仿宋" w:hAnsi="仿宋" w:eastAsia="仿宋"/>
          <w:color w:val="000000"/>
          <w:szCs w:val="32"/>
          <w:lang w:eastAsia="zh-CN"/>
        </w:rPr>
        <w:t>有新进人员。</w:t>
      </w:r>
    </w:p>
    <w:p>
      <w:pPr>
        <w:spacing w:line="560" w:lineRule="exact"/>
        <w:ind w:firstLine="640" w:firstLineChars="200"/>
        <w:rPr>
          <w:rFonts w:ascii="仿宋" w:hAnsi="仿宋"/>
          <w:color w:val="000000"/>
          <w:szCs w:val="32"/>
        </w:rPr>
      </w:pPr>
    </w:p>
    <w:p>
      <w:pPr>
        <w:pStyle w:val="5"/>
        <w:ind w:left="0" w:leftChars="0" w:firstLine="0" w:firstLineChars="0"/>
        <w:rPr>
          <w:rFonts w:hint="eastAsia"/>
        </w:rPr>
      </w:pPr>
      <w:r>
        <w:rPr>
          <w:rFonts w:hint="eastAsia"/>
          <w:lang w:val="en-US" w:eastAsia="zh-CN"/>
        </w:rPr>
        <w:t xml:space="preserve">         </w:t>
      </w:r>
      <w:r>
        <w:rPr>
          <w:rFonts w:hint="eastAsia" w:eastAsia="仿宋_GB2312"/>
          <w:lang w:eastAsia="zh-CN"/>
        </w:rPr>
        <w:drawing>
          <wp:inline distT="0" distB="0" distL="114300" distR="114300">
            <wp:extent cx="3295650" cy="2548890"/>
            <wp:effectExtent l="4445" t="4445" r="14605" b="1841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17"/>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7"/>
          <w:rFonts w:hint="eastAsia" w:ascii="黑体" w:hAnsi="黑体" w:eastAsia="黑体"/>
          <w:b w:val="0"/>
        </w:rPr>
        <w:t>般公共预算财政拨款支出决算情况说明</w:t>
      </w:r>
      <w:bookmarkEnd w:id="20"/>
      <w:bookmarkEnd w:id="21"/>
      <w:bookmarkEnd w:id="22"/>
    </w:p>
    <w:p>
      <w:pPr>
        <w:spacing w:line="600" w:lineRule="exact"/>
        <w:ind w:firstLine="643" w:firstLineChars="200"/>
        <w:outlineLvl w:val="2"/>
        <w:rPr>
          <w:rFonts w:ascii="仿宋" w:hAnsi="仿宋" w:eastAsia="仿宋"/>
          <w:b/>
          <w:color w:val="000000"/>
          <w:sz w:val="32"/>
          <w:szCs w:val="32"/>
        </w:rPr>
      </w:pPr>
      <w:bookmarkStart w:id="23" w:name="_Toc15377210"/>
      <w:r>
        <w:rPr>
          <w:rFonts w:hint="eastAsia" w:ascii="仿宋" w:hAnsi="仿宋" w:eastAsia="仿宋"/>
          <w:b/>
          <w:color w:val="000000"/>
          <w:sz w:val="32"/>
          <w:szCs w:val="32"/>
        </w:rPr>
        <w:t>（一）一般公共预算财政拨款支出决算总体情况</w:t>
      </w:r>
      <w:bookmarkEnd w:id="23"/>
    </w:p>
    <w:p>
      <w:pPr>
        <w:spacing w:line="560" w:lineRule="exact"/>
        <w:ind w:firstLine="640" w:firstLineChars="200"/>
        <w:rPr>
          <w:rFonts w:hint="eastAsia" w:ascii="仿宋" w:hAnsi="仿宋" w:eastAsia="仿宋"/>
          <w:color w:val="000000"/>
          <w:szCs w:val="32"/>
          <w:lang w:eastAsia="zh-CN"/>
        </w:rPr>
      </w:pPr>
      <w:r>
        <w:rPr>
          <w:rFonts w:hint="eastAsia" w:ascii="仿宋" w:hAnsi="仿宋" w:eastAsia="仿宋"/>
          <w:color w:val="000000"/>
          <w:szCs w:val="32"/>
          <w:lang w:eastAsia="zh-CN"/>
        </w:rPr>
        <w:t>2021</w:t>
      </w:r>
      <w:r>
        <w:rPr>
          <w:rFonts w:hint="eastAsia" w:ascii="仿宋" w:hAnsi="仿宋" w:eastAsia="仿宋"/>
          <w:color w:val="000000"/>
          <w:szCs w:val="32"/>
        </w:rPr>
        <w:t>年一般公共预算财政拨款支出</w:t>
      </w:r>
      <w:r>
        <w:rPr>
          <w:rFonts w:hint="eastAsia" w:ascii="仿宋" w:hAnsi="仿宋" w:eastAsia="仿宋"/>
          <w:color w:val="000000"/>
          <w:szCs w:val="32"/>
          <w:lang w:val="en-US" w:eastAsia="zh-CN"/>
        </w:rPr>
        <w:t>107.53</w:t>
      </w:r>
      <w:r>
        <w:rPr>
          <w:rFonts w:hint="eastAsia" w:ascii="仿宋" w:hAnsi="仿宋" w:eastAsia="仿宋"/>
          <w:color w:val="000000"/>
          <w:szCs w:val="32"/>
        </w:rPr>
        <w:t>万元，占本年支出合计的100.00</w:t>
      </w:r>
      <w:r>
        <w:rPr>
          <w:rFonts w:ascii="仿宋" w:hAnsi="仿宋" w:eastAsia="仿宋"/>
          <w:color w:val="000000"/>
          <w:szCs w:val="32"/>
        </w:rPr>
        <w:t>%</w:t>
      </w:r>
      <w:r>
        <w:rPr>
          <w:rFonts w:hint="eastAsia" w:ascii="仿宋" w:hAnsi="仿宋" w:eastAsia="仿宋"/>
          <w:color w:val="000000"/>
          <w:szCs w:val="32"/>
        </w:rPr>
        <w:t>。与</w:t>
      </w:r>
      <w:r>
        <w:rPr>
          <w:rFonts w:ascii="仿宋" w:hAnsi="仿宋" w:eastAsia="仿宋"/>
          <w:color w:val="000000"/>
          <w:szCs w:val="32"/>
        </w:rPr>
        <w:t>20</w:t>
      </w:r>
      <w:r>
        <w:rPr>
          <w:rFonts w:hint="eastAsia" w:ascii="仿宋" w:hAnsi="仿宋" w:eastAsia="仿宋"/>
          <w:color w:val="000000"/>
          <w:szCs w:val="32"/>
          <w:lang w:val="en-US" w:eastAsia="zh-CN"/>
        </w:rPr>
        <w:t>20</w:t>
      </w:r>
      <w:r>
        <w:rPr>
          <w:rFonts w:hint="eastAsia" w:ascii="仿宋" w:hAnsi="仿宋" w:eastAsia="仿宋"/>
          <w:color w:val="000000"/>
          <w:szCs w:val="32"/>
        </w:rPr>
        <w:t>年相比，一般公共预算财政拨款增加</w:t>
      </w:r>
      <w:r>
        <w:rPr>
          <w:rFonts w:hint="eastAsia" w:ascii="仿宋" w:hAnsi="仿宋" w:eastAsia="仿宋"/>
          <w:color w:val="000000"/>
          <w:szCs w:val="32"/>
          <w:lang w:val="en-US" w:eastAsia="zh-CN"/>
        </w:rPr>
        <w:t>8.73</w:t>
      </w:r>
      <w:r>
        <w:rPr>
          <w:rFonts w:hint="eastAsia" w:ascii="仿宋" w:hAnsi="仿宋" w:eastAsia="仿宋"/>
          <w:color w:val="000000"/>
          <w:szCs w:val="32"/>
        </w:rPr>
        <w:t>元，增加</w:t>
      </w:r>
      <w:r>
        <w:rPr>
          <w:rFonts w:hint="eastAsia" w:ascii="仿宋" w:hAnsi="仿宋" w:eastAsia="仿宋"/>
          <w:color w:val="000000"/>
          <w:szCs w:val="32"/>
          <w:lang w:val="en-US" w:eastAsia="zh-CN"/>
        </w:rPr>
        <w:t>8.12</w:t>
      </w:r>
      <w:r>
        <w:rPr>
          <w:rFonts w:ascii="仿宋" w:hAnsi="仿宋" w:eastAsia="仿宋"/>
          <w:color w:val="000000"/>
          <w:szCs w:val="32"/>
        </w:rPr>
        <w:t>%</w:t>
      </w:r>
      <w:r>
        <w:rPr>
          <w:rFonts w:hint="eastAsia" w:ascii="仿宋" w:hAnsi="仿宋" w:eastAsia="仿宋"/>
          <w:color w:val="000000"/>
          <w:szCs w:val="32"/>
        </w:rPr>
        <w:t>。主要变动原因是</w:t>
      </w:r>
      <w:r>
        <w:rPr>
          <w:rFonts w:hint="eastAsia" w:ascii="仿宋" w:hAnsi="仿宋" w:eastAsia="仿宋"/>
          <w:color w:val="000000"/>
          <w:szCs w:val="32"/>
          <w:lang w:eastAsia="zh-CN"/>
        </w:rPr>
        <w:t>有新进人员。</w:t>
      </w:r>
    </w:p>
    <w:p>
      <w:pPr>
        <w:snapToGrid w:val="0"/>
        <w:spacing w:line="520" w:lineRule="exact"/>
        <w:ind w:firstLine="640" w:firstLineChars="200"/>
        <w:rPr>
          <w:rFonts w:hint="eastAsia" w:ascii="仿宋" w:hAnsi="仿宋" w:eastAsia="仿宋"/>
          <w:color w:val="000000" w:themeColor="text1"/>
          <w:szCs w:val="32"/>
          <w14:textFill>
            <w14:solidFill>
              <w14:schemeClr w14:val="tx1"/>
            </w14:solidFill>
          </w14:textFill>
        </w:rPr>
      </w:pPr>
    </w:p>
    <w:p>
      <w:pPr>
        <w:pStyle w:val="5"/>
        <w:ind w:left="0" w:leftChars="0" w:firstLine="0" w:firstLineChars="0"/>
        <w:rPr>
          <w:rFonts w:ascii="仿宋" w:hAnsi="仿宋" w:eastAsia="仿宋"/>
          <w:color w:val="000000"/>
          <w:sz w:val="32"/>
          <w:szCs w:val="32"/>
        </w:rPr>
      </w:pPr>
      <w:r>
        <w:rPr>
          <w:rFonts w:hint="eastAsia"/>
          <w:lang w:val="en-US" w:eastAsia="zh-CN"/>
        </w:rPr>
        <w:t xml:space="preserve">      </w:t>
      </w:r>
      <w:r>
        <w:rPr>
          <w:rFonts w:hint="eastAsia" w:eastAsia="仿宋_GB2312"/>
          <w:lang w:eastAsia="zh-CN"/>
        </w:rPr>
        <w:drawing>
          <wp:inline distT="0" distB="0" distL="114300" distR="114300">
            <wp:extent cx="3853815" cy="2632075"/>
            <wp:effectExtent l="4445" t="5080" r="8890" b="1079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3" w:firstLineChars="200"/>
        <w:outlineLvl w:val="2"/>
        <w:rPr>
          <w:rFonts w:ascii="仿宋" w:hAnsi="仿宋" w:eastAsia="仿宋"/>
          <w:b/>
          <w:color w:val="000000"/>
          <w:sz w:val="32"/>
          <w:szCs w:val="32"/>
        </w:rPr>
      </w:pPr>
      <w:bookmarkStart w:id="24" w:name="_Toc15377211"/>
      <w:r>
        <w:rPr>
          <w:rFonts w:hint="eastAsia" w:ascii="仿宋" w:hAnsi="仿宋" w:eastAsia="仿宋"/>
          <w:b/>
          <w:color w:val="000000"/>
          <w:sz w:val="32"/>
          <w:szCs w:val="32"/>
        </w:rPr>
        <w:t>（二）一般公共预算财政拨款支出决算结构情况</w:t>
      </w:r>
      <w:bookmarkEnd w:id="24"/>
    </w:p>
    <w:p>
      <w:pPr>
        <w:spacing w:line="560" w:lineRule="exact"/>
        <w:ind w:firstLine="640"/>
        <w:rPr>
          <w:rFonts w:ascii="仿宋" w:hAnsi="仿宋" w:eastAsia="仿宋"/>
          <w:color w:val="000000"/>
          <w:szCs w:val="32"/>
        </w:rPr>
      </w:pPr>
      <w:bookmarkStart w:id="25" w:name="_Toc15377212"/>
      <w:r>
        <w:rPr>
          <w:rFonts w:ascii="仿宋" w:hAnsi="仿宋" w:eastAsia="仿宋"/>
          <w:color w:val="000000"/>
          <w:szCs w:val="32"/>
        </w:rPr>
        <w:drawing>
          <wp:anchor distT="0" distB="0" distL="114300" distR="114300" simplePos="0" relativeHeight="251660288" behindDoc="0" locked="0" layoutInCell="1" allowOverlap="1">
            <wp:simplePos x="0" y="0"/>
            <wp:positionH relativeFrom="column">
              <wp:posOffset>887095</wp:posOffset>
            </wp:positionH>
            <wp:positionV relativeFrom="paragraph">
              <wp:posOffset>1837055</wp:posOffset>
            </wp:positionV>
            <wp:extent cx="3664585" cy="2203450"/>
            <wp:effectExtent l="0" t="0" r="12065" b="6350"/>
            <wp:wrapTopAndBottom/>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664800" cy="2203200"/>
                    </a:xfrm>
                    <a:prstGeom prst="rect">
                      <a:avLst/>
                    </a:prstGeom>
                    <a:noFill/>
                    <a:ln>
                      <a:noFill/>
                    </a:ln>
                  </pic:spPr>
                </pic:pic>
              </a:graphicData>
            </a:graphic>
          </wp:anchor>
        </w:drawing>
      </w:r>
      <w:r>
        <w:rPr>
          <w:rFonts w:hint="eastAsia" w:ascii="仿宋" w:hAnsi="仿宋" w:eastAsia="仿宋"/>
          <w:color w:val="000000"/>
          <w:szCs w:val="32"/>
          <w:lang w:eastAsia="zh-CN"/>
        </w:rPr>
        <w:t>2021</w:t>
      </w:r>
      <w:r>
        <w:rPr>
          <w:rFonts w:hint="eastAsia" w:ascii="仿宋" w:hAnsi="仿宋" w:eastAsia="仿宋"/>
          <w:color w:val="000000"/>
          <w:szCs w:val="32"/>
        </w:rPr>
        <w:t>年一般公共预算财政拨款支出</w:t>
      </w:r>
      <w:r>
        <w:rPr>
          <w:rFonts w:hint="eastAsia" w:ascii="仿宋" w:hAnsi="仿宋" w:eastAsia="仿宋"/>
          <w:color w:val="000000"/>
          <w:szCs w:val="32"/>
          <w:lang w:val="en-US" w:eastAsia="zh-CN"/>
        </w:rPr>
        <w:t>107.53</w:t>
      </w:r>
      <w:r>
        <w:rPr>
          <w:rFonts w:hint="eastAsia" w:ascii="仿宋" w:hAnsi="仿宋" w:eastAsia="仿宋"/>
          <w:color w:val="000000"/>
          <w:szCs w:val="32"/>
        </w:rPr>
        <w:t>万元，主要</w:t>
      </w:r>
      <w:r>
        <w:rPr>
          <w:rFonts w:hint="eastAsia" w:ascii="仿宋" w:hAnsi="仿宋" w:eastAsia="仿宋"/>
          <w:color w:val="auto"/>
          <w:szCs w:val="32"/>
        </w:rPr>
        <w:t>用于以下方面</w:t>
      </w:r>
      <w:r>
        <w:rPr>
          <w:rFonts w:ascii="仿宋" w:hAnsi="仿宋" w:eastAsia="仿宋"/>
          <w:color w:val="auto"/>
          <w:szCs w:val="32"/>
        </w:rPr>
        <w:t>:</w:t>
      </w:r>
      <w:r>
        <w:rPr>
          <w:rFonts w:hint="eastAsia" w:ascii="仿宋" w:hAnsi="仿宋" w:eastAsia="仿宋"/>
          <w:b/>
          <w:color w:val="auto"/>
          <w:szCs w:val="32"/>
          <w:lang w:eastAsia="zh-CN"/>
        </w:rPr>
        <w:t>公共安全</w:t>
      </w:r>
      <w:r>
        <w:rPr>
          <w:rFonts w:hint="eastAsia" w:ascii="仿宋" w:hAnsi="仿宋" w:eastAsia="仿宋"/>
          <w:b/>
          <w:color w:val="auto"/>
          <w:szCs w:val="32"/>
        </w:rPr>
        <w:t>（类）</w:t>
      </w:r>
      <w:r>
        <w:rPr>
          <w:rFonts w:hint="eastAsia" w:ascii="仿宋" w:hAnsi="仿宋" w:eastAsia="仿宋"/>
          <w:color w:val="auto"/>
          <w:szCs w:val="32"/>
        </w:rPr>
        <w:t>支出</w:t>
      </w:r>
      <w:r>
        <w:rPr>
          <w:rFonts w:hint="eastAsia" w:ascii="仿宋" w:hAnsi="仿宋" w:eastAsia="仿宋"/>
          <w:color w:val="auto"/>
          <w:szCs w:val="32"/>
          <w:lang w:val="en-US" w:eastAsia="zh-CN"/>
        </w:rPr>
        <w:t>91.25</w:t>
      </w:r>
      <w:r>
        <w:rPr>
          <w:rFonts w:hint="eastAsia" w:ascii="仿宋" w:hAnsi="仿宋" w:eastAsia="仿宋"/>
          <w:color w:val="auto"/>
          <w:szCs w:val="32"/>
        </w:rPr>
        <w:t>万元，占</w:t>
      </w:r>
      <w:r>
        <w:rPr>
          <w:rFonts w:hint="eastAsia" w:ascii="仿宋" w:hAnsi="仿宋" w:eastAsia="仿宋"/>
          <w:color w:val="auto"/>
          <w:szCs w:val="32"/>
          <w:lang w:val="en-US" w:eastAsia="zh-CN"/>
        </w:rPr>
        <w:t>84.86</w:t>
      </w:r>
      <w:r>
        <w:rPr>
          <w:rFonts w:ascii="仿宋" w:hAnsi="仿宋" w:eastAsia="仿宋"/>
          <w:color w:val="auto"/>
          <w:szCs w:val="32"/>
        </w:rPr>
        <w:t>%</w:t>
      </w:r>
      <w:r>
        <w:rPr>
          <w:rFonts w:hint="eastAsia" w:ascii="仿宋" w:hAnsi="仿宋" w:eastAsia="仿宋"/>
          <w:color w:val="auto"/>
          <w:szCs w:val="32"/>
        </w:rPr>
        <w:t>；</w:t>
      </w:r>
      <w:r>
        <w:rPr>
          <w:rFonts w:hint="eastAsia" w:ascii="仿宋" w:hAnsi="仿宋" w:eastAsia="仿宋"/>
          <w:color w:val="auto"/>
          <w:szCs w:val="32"/>
          <w:lang w:val="en-US" w:eastAsia="zh-CN"/>
        </w:rPr>
        <w:t xml:space="preserve"> </w:t>
      </w:r>
      <w:r>
        <w:rPr>
          <w:rFonts w:hint="eastAsia" w:ascii="仿宋" w:hAnsi="仿宋" w:eastAsia="仿宋"/>
          <w:b/>
          <w:color w:val="auto"/>
          <w:szCs w:val="32"/>
        </w:rPr>
        <w:t>社会保障和就业（类）</w:t>
      </w:r>
      <w:r>
        <w:rPr>
          <w:rFonts w:hint="eastAsia" w:ascii="仿宋" w:hAnsi="仿宋" w:eastAsia="仿宋"/>
          <w:color w:val="auto"/>
          <w:szCs w:val="32"/>
        </w:rPr>
        <w:t>支出</w:t>
      </w:r>
      <w:r>
        <w:rPr>
          <w:rFonts w:hint="eastAsia" w:ascii="仿宋" w:hAnsi="仿宋" w:eastAsia="仿宋"/>
          <w:color w:val="auto"/>
          <w:szCs w:val="32"/>
          <w:lang w:val="en-US" w:eastAsia="zh-CN"/>
        </w:rPr>
        <w:t>9.19</w:t>
      </w:r>
      <w:r>
        <w:rPr>
          <w:rFonts w:hint="eastAsia" w:ascii="仿宋" w:hAnsi="仿宋" w:eastAsia="仿宋"/>
          <w:color w:val="auto"/>
          <w:szCs w:val="32"/>
        </w:rPr>
        <w:t>万元，占</w:t>
      </w:r>
      <w:r>
        <w:rPr>
          <w:rFonts w:hint="eastAsia" w:ascii="仿宋" w:hAnsi="仿宋" w:eastAsia="仿宋"/>
          <w:color w:val="auto"/>
          <w:szCs w:val="32"/>
          <w:lang w:val="en-US" w:eastAsia="zh-CN"/>
        </w:rPr>
        <w:t>8.55</w:t>
      </w:r>
      <w:r>
        <w:rPr>
          <w:rFonts w:ascii="仿宋" w:hAnsi="仿宋" w:eastAsia="仿宋"/>
          <w:color w:val="auto"/>
          <w:szCs w:val="32"/>
        </w:rPr>
        <w:t>%</w:t>
      </w:r>
      <w:r>
        <w:rPr>
          <w:rFonts w:hint="eastAsia" w:ascii="仿宋" w:hAnsi="仿宋" w:eastAsia="仿宋"/>
          <w:color w:val="auto"/>
          <w:szCs w:val="32"/>
        </w:rPr>
        <w:t>；</w:t>
      </w:r>
      <w:r>
        <w:rPr>
          <w:rFonts w:hint="eastAsia" w:ascii="仿宋" w:hAnsi="仿宋" w:eastAsia="仿宋"/>
          <w:b/>
          <w:bCs/>
          <w:color w:val="auto"/>
          <w:szCs w:val="32"/>
        </w:rPr>
        <w:t>卫生健康支出</w:t>
      </w:r>
      <w:r>
        <w:rPr>
          <w:rFonts w:hint="eastAsia" w:ascii="仿宋" w:hAnsi="仿宋" w:eastAsia="仿宋"/>
          <w:b w:val="0"/>
          <w:bCs w:val="0"/>
          <w:color w:val="auto"/>
          <w:szCs w:val="32"/>
          <w:lang w:val="en-US" w:eastAsia="zh-CN"/>
        </w:rPr>
        <w:t>3.3</w:t>
      </w:r>
      <w:r>
        <w:rPr>
          <w:rFonts w:hint="eastAsia" w:ascii="仿宋" w:hAnsi="仿宋" w:eastAsia="仿宋"/>
          <w:b w:val="0"/>
          <w:bCs w:val="0"/>
          <w:color w:val="auto"/>
          <w:szCs w:val="32"/>
        </w:rPr>
        <w:t>万元，</w:t>
      </w:r>
      <w:r>
        <w:rPr>
          <w:rFonts w:hint="eastAsia" w:ascii="仿宋" w:hAnsi="仿宋" w:eastAsia="仿宋"/>
          <w:color w:val="auto"/>
          <w:szCs w:val="32"/>
        </w:rPr>
        <w:t>占</w:t>
      </w:r>
      <w:r>
        <w:rPr>
          <w:rFonts w:hint="eastAsia" w:ascii="仿宋" w:hAnsi="仿宋" w:eastAsia="仿宋"/>
          <w:color w:val="auto"/>
          <w:szCs w:val="32"/>
          <w:lang w:val="en-US" w:eastAsia="zh-CN"/>
        </w:rPr>
        <w:t>3.1</w:t>
      </w:r>
      <w:r>
        <w:rPr>
          <w:rFonts w:ascii="仿宋" w:hAnsi="仿宋" w:eastAsia="仿宋"/>
          <w:color w:val="auto"/>
          <w:szCs w:val="32"/>
        </w:rPr>
        <w:t>%</w:t>
      </w:r>
      <w:r>
        <w:rPr>
          <w:rFonts w:hint="eastAsia" w:ascii="仿宋" w:hAnsi="仿宋" w:eastAsia="仿宋"/>
          <w:color w:val="auto"/>
          <w:szCs w:val="32"/>
        </w:rPr>
        <w:t>；住房保障支出</w:t>
      </w:r>
      <w:r>
        <w:rPr>
          <w:rFonts w:hint="eastAsia" w:ascii="仿宋" w:hAnsi="仿宋" w:eastAsia="仿宋"/>
          <w:color w:val="auto"/>
          <w:szCs w:val="32"/>
          <w:lang w:val="en-US" w:eastAsia="zh-CN"/>
        </w:rPr>
        <w:t>3.79</w:t>
      </w:r>
      <w:r>
        <w:rPr>
          <w:rFonts w:hint="eastAsia" w:ascii="仿宋" w:hAnsi="仿宋" w:eastAsia="仿宋"/>
          <w:color w:val="auto"/>
          <w:szCs w:val="32"/>
        </w:rPr>
        <w:t>万元，占</w:t>
      </w:r>
      <w:r>
        <w:rPr>
          <w:rFonts w:hint="eastAsia" w:ascii="仿宋" w:hAnsi="仿宋" w:eastAsia="仿宋"/>
          <w:color w:val="auto"/>
          <w:szCs w:val="32"/>
          <w:lang w:val="en-US" w:eastAsia="zh-CN"/>
        </w:rPr>
        <w:t>3.52</w:t>
      </w:r>
      <w:r>
        <w:rPr>
          <w:rFonts w:ascii="仿宋" w:hAnsi="仿宋" w:eastAsia="仿宋"/>
          <w:color w:val="auto"/>
          <w:szCs w:val="32"/>
        </w:rPr>
        <w:t>%</w:t>
      </w:r>
      <w:r>
        <w:rPr>
          <w:rFonts w:hint="eastAsia" w:ascii="仿宋" w:hAnsi="仿宋" w:eastAsia="仿宋"/>
          <w:color w:val="auto"/>
          <w:szCs w:val="32"/>
        </w:rPr>
        <w:t>。</w:t>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25"/>
    </w:p>
    <w:p>
      <w:pPr>
        <w:spacing w:line="560" w:lineRule="exact"/>
        <w:ind w:firstLine="640" w:firstLineChars="200"/>
        <w:rPr>
          <w:rFonts w:hint="default" w:ascii="仿宋_GB2312" w:eastAsia="仿宋_GB2312"/>
          <w:lang w:val="en-US" w:eastAsia="zh-CN"/>
        </w:rPr>
      </w:pPr>
      <w:bookmarkStart w:id="26" w:name="_Toc15377444"/>
      <w:bookmarkStart w:id="27" w:name="_Toc15377213"/>
      <w:bookmarkStart w:id="28" w:name="_Toc15378460"/>
      <w:r>
        <w:rPr>
          <w:rFonts w:hint="eastAsia" w:ascii="仿宋_GB2312"/>
          <w:lang w:eastAsia="zh-CN"/>
        </w:rPr>
        <w:t>2021</w:t>
      </w:r>
      <w:r>
        <w:rPr>
          <w:rFonts w:hint="eastAsia" w:ascii="仿宋_GB2312"/>
        </w:rPr>
        <w:t>年一般公共预算支出决算数为</w:t>
      </w:r>
      <w:r>
        <w:rPr>
          <w:rFonts w:hint="eastAsia" w:ascii="仿宋_GB2312"/>
          <w:lang w:val="en-US" w:eastAsia="zh-CN"/>
        </w:rPr>
        <w:t>107.53</w:t>
      </w:r>
      <w:r>
        <w:rPr>
          <w:rFonts w:hint="eastAsia" w:ascii="仿宋_GB2312"/>
        </w:rPr>
        <w:t>万元，</w:t>
      </w:r>
      <w:r>
        <w:rPr>
          <w:rFonts w:hint="eastAsia" w:ascii="仿宋_GB2312"/>
          <w:b/>
        </w:rPr>
        <w:t>完成预算100%。其中：</w:t>
      </w:r>
      <w:bookmarkEnd w:id="26"/>
      <w:bookmarkEnd w:id="27"/>
      <w:bookmarkEnd w:id="28"/>
      <w:r>
        <w:rPr>
          <w:rFonts w:hint="eastAsia" w:ascii="仿宋_GB2312"/>
          <w:b/>
          <w:lang w:val="en-US" w:eastAsia="zh-CN"/>
        </w:rPr>
        <w:t xml:space="preserve">                        </w:t>
      </w:r>
    </w:p>
    <w:p>
      <w:pPr>
        <w:numPr>
          <w:ilvl w:val="0"/>
          <w:numId w:val="0"/>
        </w:numPr>
        <w:spacing w:line="560" w:lineRule="exact"/>
        <w:rPr>
          <w:rFonts w:hint="eastAsia" w:ascii="仿宋_GB2312"/>
        </w:rPr>
      </w:pPr>
      <w:r>
        <w:rPr>
          <w:rStyle w:val="14"/>
          <w:rFonts w:hint="eastAsia" w:ascii="仿宋" w:hAnsi="仿宋" w:eastAsia="仿宋"/>
          <w:bCs w:val="0"/>
          <w:color w:val="000000"/>
          <w:szCs w:val="32"/>
          <w:lang w:val="en-US" w:eastAsia="zh-CN"/>
        </w:rPr>
        <w:t xml:space="preserve">    1</w:t>
      </w:r>
      <w:r>
        <w:rPr>
          <w:rStyle w:val="14"/>
          <w:rFonts w:ascii="仿宋" w:hAnsi="仿宋" w:eastAsia="仿宋"/>
          <w:bCs w:val="0"/>
          <w:color w:val="000000"/>
          <w:szCs w:val="32"/>
        </w:rPr>
        <w:t>.</w:t>
      </w:r>
      <w:r>
        <w:rPr>
          <w:rStyle w:val="14"/>
          <w:rFonts w:hint="eastAsia" w:ascii="仿宋" w:hAnsi="仿宋" w:eastAsia="仿宋"/>
          <w:bCs w:val="0"/>
          <w:color w:val="000000"/>
          <w:szCs w:val="32"/>
        </w:rPr>
        <w:t>公共安全</w:t>
      </w:r>
      <w:r>
        <w:rPr>
          <w:rStyle w:val="14"/>
          <w:rFonts w:ascii="仿宋" w:hAnsi="仿宋" w:eastAsia="仿宋"/>
          <w:bCs w:val="0"/>
          <w:color w:val="000000"/>
          <w:szCs w:val="32"/>
        </w:rPr>
        <w:t xml:space="preserve">: </w:t>
      </w:r>
      <w:r>
        <w:rPr>
          <w:rFonts w:hint="eastAsia" w:ascii="仿宋_GB2312"/>
        </w:rPr>
        <w:t>2040250事业运行支出决算为</w:t>
      </w:r>
      <w:r>
        <w:rPr>
          <w:rFonts w:hint="eastAsia" w:ascii="仿宋_GB2312"/>
          <w:lang w:val="en-US" w:eastAsia="zh-CN"/>
        </w:rPr>
        <w:t>91.25</w:t>
      </w:r>
      <w:bookmarkStart w:id="84" w:name="_GoBack"/>
      <w:bookmarkEnd w:id="84"/>
      <w:r>
        <w:rPr>
          <w:rFonts w:hint="eastAsia" w:ascii="仿宋_GB2312"/>
        </w:rPr>
        <w:t>万元，完</w:t>
      </w:r>
      <w:r>
        <w:rPr>
          <w:rFonts w:hint="eastAsia" w:ascii="仿宋_GB2312"/>
          <w:lang w:val="en-US" w:eastAsia="zh-CN"/>
        </w:rPr>
        <w:t xml:space="preserve"> </w:t>
      </w:r>
      <w:r>
        <w:rPr>
          <w:rFonts w:hint="eastAsia" w:ascii="仿宋_GB2312"/>
        </w:rPr>
        <w:t>完成预算100.00%；</w:t>
      </w:r>
    </w:p>
    <w:p>
      <w:pPr>
        <w:numPr>
          <w:ilvl w:val="0"/>
          <w:numId w:val="0"/>
        </w:numPr>
        <w:spacing w:line="560" w:lineRule="exact"/>
        <w:ind w:firstLine="643" w:firstLineChars="200"/>
        <w:rPr>
          <w:rFonts w:ascii="仿宋_GB2312"/>
        </w:rPr>
      </w:pPr>
      <w:r>
        <w:rPr>
          <w:rStyle w:val="14"/>
          <w:rFonts w:hint="eastAsia" w:ascii="仿宋" w:hAnsi="仿宋" w:eastAsia="仿宋"/>
          <w:bCs w:val="0"/>
          <w:color w:val="000000"/>
          <w:szCs w:val="32"/>
        </w:rPr>
        <w:t>2</w:t>
      </w:r>
      <w:r>
        <w:rPr>
          <w:rStyle w:val="14"/>
          <w:rFonts w:ascii="仿宋" w:hAnsi="仿宋" w:eastAsia="仿宋"/>
          <w:bCs w:val="0"/>
          <w:color w:val="000000"/>
          <w:szCs w:val="32"/>
        </w:rPr>
        <w:t>.</w:t>
      </w:r>
      <w:r>
        <w:rPr>
          <w:rStyle w:val="14"/>
          <w:rFonts w:hint="eastAsia" w:ascii="仿宋" w:hAnsi="仿宋" w:eastAsia="仿宋"/>
          <w:bCs w:val="0"/>
          <w:color w:val="000000"/>
          <w:szCs w:val="32"/>
        </w:rPr>
        <w:t>社会保障和就业</w:t>
      </w:r>
      <w:r>
        <w:rPr>
          <w:rStyle w:val="14"/>
          <w:rFonts w:ascii="仿宋" w:hAnsi="仿宋" w:eastAsia="仿宋"/>
          <w:bCs w:val="0"/>
          <w:color w:val="000000"/>
          <w:szCs w:val="32"/>
        </w:rPr>
        <w:t xml:space="preserve">: </w:t>
      </w:r>
      <w:r>
        <w:rPr>
          <w:rFonts w:hint="eastAsia" w:ascii="仿宋_GB2312"/>
        </w:rPr>
        <w:t>2080505机关事业单位基本养老保险缴费支出决算为</w:t>
      </w:r>
      <w:r>
        <w:rPr>
          <w:rFonts w:hint="eastAsia" w:ascii="仿宋_GB2312"/>
          <w:lang w:val="en-US" w:eastAsia="zh-CN"/>
        </w:rPr>
        <w:t>6.26</w:t>
      </w:r>
      <w:r>
        <w:rPr>
          <w:rFonts w:hint="eastAsia" w:ascii="仿宋_GB2312"/>
        </w:rPr>
        <w:t>万元，完成预算100.00%；2080506机关事业单位职业年金缴费支出决算为</w:t>
      </w:r>
      <w:r>
        <w:rPr>
          <w:rFonts w:hint="eastAsia" w:ascii="仿宋_GB2312"/>
          <w:lang w:val="en-US" w:eastAsia="zh-CN"/>
        </w:rPr>
        <w:t>2.94</w:t>
      </w:r>
      <w:r>
        <w:rPr>
          <w:rFonts w:hint="eastAsia" w:ascii="仿宋_GB2312"/>
        </w:rPr>
        <w:t>万元，完成预算100.00%。</w:t>
      </w:r>
    </w:p>
    <w:p>
      <w:pPr>
        <w:spacing w:line="560" w:lineRule="exact"/>
        <w:ind w:firstLine="643" w:firstLineChars="200"/>
        <w:rPr>
          <w:rFonts w:hint="eastAsia" w:ascii="仿宋_GB2312"/>
        </w:rPr>
      </w:pPr>
      <w:r>
        <w:rPr>
          <w:rStyle w:val="14"/>
          <w:rFonts w:hint="eastAsia" w:ascii="仿宋" w:hAnsi="仿宋" w:eastAsia="仿宋"/>
          <w:bCs w:val="0"/>
          <w:color w:val="000000"/>
          <w:szCs w:val="32"/>
        </w:rPr>
        <w:t>3</w:t>
      </w:r>
      <w:r>
        <w:rPr>
          <w:rStyle w:val="14"/>
          <w:rFonts w:ascii="仿宋" w:hAnsi="仿宋" w:eastAsia="仿宋"/>
          <w:bCs w:val="0"/>
          <w:color w:val="000000"/>
          <w:szCs w:val="32"/>
        </w:rPr>
        <w:t>.</w:t>
      </w:r>
      <w:r>
        <w:rPr>
          <w:rFonts w:hint="eastAsia" w:ascii="仿宋" w:hAnsi="仿宋" w:eastAsia="仿宋"/>
          <w:b/>
          <w:bCs/>
          <w:color w:val="000000"/>
          <w:szCs w:val="32"/>
        </w:rPr>
        <w:t>卫生健康</w:t>
      </w:r>
      <w:r>
        <w:rPr>
          <w:rStyle w:val="14"/>
          <w:rFonts w:ascii="仿宋" w:hAnsi="仿宋" w:eastAsia="仿宋"/>
          <w:bCs w:val="0"/>
          <w:color w:val="000000"/>
          <w:szCs w:val="32"/>
        </w:rPr>
        <w:t>:</w:t>
      </w:r>
      <w:r>
        <w:rPr>
          <w:rFonts w:hint="eastAsia" w:ascii="仿宋_GB2312"/>
        </w:rPr>
        <w:t>2101102事业单位医疗支出决算为3.</w:t>
      </w:r>
      <w:r>
        <w:rPr>
          <w:rFonts w:hint="eastAsia" w:ascii="仿宋_GB2312"/>
          <w:lang w:val="en-US" w:eastAsia="zh-CN"/>
        </w:rPr>
        <w:t>3</w:t>
      </w:r>
      <w:r>
        <w:rPr>
          <w:rFonts w:hint="eastAsia" w:ascii="仿宋_GB2312"/>
        </w:rPr>
        <w:t>万元，完成预算100.00%。</w:t>
      </w:r>
    </w:p>
    <w:p>
      <w:pPr>
        <w:spacing w:line="560" w:lineRule="exact"/>
        <w:ind w:firstLine="643" w:firstLineChars="200"/>
        <w:rPr>
          <w:rFonts w:ascii="仿宋_GB2312"/>
        </w:rPr>
      </w:pPr>
      <w:r>
        <w:rPr>
          <w:rStyle w:val="14"/>
          <w:rFonts w:hint="eastAsia" w:ascii="仿宋" w:hAnsi="仿宋" w:eastAsia="仿宋"/>
          <w:bCs w:val="0"/>
          <w:color w:val="000000"/>
          <w:szCs w:val="32"/>
        </w:rPr>
        <w:t>4</w:t>
      </w:r>
      <w:r>
        <w:rPr>
          <w:rStyle w:val="14"/>
          <w:rFonts w:ascii="仿宋" w:hAnsi="仿宋" w:eastAsia="仿宋"/>
          <w:bCs w:val="0"/>
          <w:color w:val="000000"/>
          <w:szCs w:val="32"/>
        </w:rPr>
        <w:t>.</w:t>
      </w:r>
      <w:r>
        <w:rPr>
          <w:rFonts w:hint="eastAsia" w:ascii="仿宋" w:hAnsi="仿宋" w:eastAsia="仿宋"/>
          <w:b/>
          <w:bCs/>
          <w:color w:val="000000"/>
          <w:szCs w:val="32"/>
        </w:rPr>
        <w:t>住房保障</w:t>
      </w:r>
      <w:r>
        <w:rPr>
          <w:rStyle w:val="14"/>
          <w:rFonts w:ascii="仿宋" w:hAnsi="仿宋" w:eastAsia="仿宋"/>
          <w:bCs w:val="0"/>
          <w:color w:val="000000"/>
          <w:szCs w:val="32"/>
        </w:rPr>
        <w:t>:</w:t>
      </w:r>
      <w:r>
        <w:rPr>
          <w:rFonts w:hint="eastAsia" w:ascii="仿宋_GB2312"/>
        </w:rPr>
        <w:t>2210201住房公积金支出决算为</w:t>
      </w:r>
      <w:r>
        <w:rPr>
          <w:rFonts w:hint="eastAsia" w:ascii="仿宋_GB2312"/>
          <w:lang w:val="en-US" w:eastAsia="zh-CN"/>
        </w:rPr>
        <w:t>3.79</w:t>
      </w:r>
      <w:r>
        <w:rPr>
          <w:rFonts w:hint="eastAsia" w:ascii="仿宋_GB2312"/>
        </w:rPr>
        <w:t>万元，完成预算100.00</w:t>
      </w:r>
      <w:r>
        <w:rPr>
          <w:rFonts w:ascii="仿宋_GB2312"/>
        </w:rPr>
        <w:t>%</w:t>
      </w:r>
      <w:r>
        <w:rPr>
          <w:rFonts w:hint="eastAsia" w:ascii="仿宋_GB2312"/>
        </w:rPr>
        <w:t>。</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17"/>
        </w:rPr>
      </w:pPr>
      <w:bookmarkStart w:id="29" w:name="_Toc16675"/>
      <w:bookmarkStart w:id="30" w:name="_Toc15377214"/>
      <w:bookmarkStart w:id="3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7"/>
          <w:rFonts w:hint="eastAsia" w:ascii="黑体" w:hAnsi="黑体" w:eastAsia="黑体"/>
          <w:b w:val="0"/>
        </w:rPr>
        <w:t>般公共预算财政拨款基本支出决算情况说明</w:t>
      </w:r>
      <w:bookmarkEnd w:id="29"/>
      <w:bookmarkEnd w:id="30"/>
      <w:bookmarkEnd w:id="31"/>
      <w:r>
        <w:rPr>
          <w:rStyle w:val="17"/>
          <w:rFonts w:ascii="黑体" w:hAnsi="黑体" w:eastAsia="黑体"/>
          <w:b w:val="0"/>
        </w:rPr>
        <w:tab/>
      </w:r>
    </w:p>
    <w:p>
      <w:pPr>
        <w:spacing w:line="560" w:lineRule="exact"/>
        <w:ind w:firstLine="645"/>
        <w:rPr>
          <w:rFonts w:ascii="仿宋" w:hAnsi="仿宋" w:eastAsia="仿宋"/>
          <w:color w:val="000000"/>
          <w:szCs w:val="32"/>
        </w:rPr>
      </w:pPr>
      <w:bookmarkStart w:id="32" w:name="_Toc19737"/>
      <w:bookmarkStart w:id="33" w:name="_Toc15377215"/>
      <w:bookmarkStart w:id="34" w:name="_Toc15396609"/>
      <w:r>
        <w:rPr>
          <w:rFonts w:hint="eastAsia" w:ascii="仿宋" w:hAnsi="仿宋" w:eastAsia="仿宋"/>
          <w:color w:val="000000"/>
          <w:szCs w:val="32"/>
          <w:lang w:eastAsia="zh-CN"/>
        </w:rPr>
        <w:t>2021</w:t>
      </w:r>
      <w:r>
        <w:rPr>
          <w:rFonts w:hint="eastAsia" w:ascii="仿宋" w:hAnsi="仿宋" w:eastAsia="仿宋"/>
          <w:color w:val="000000"/>
          <w:szCs w:val="32"/>
        </w:rPr>
        <w:t>年一般公共预算财政拨款基本支出</w:t>
      </w:r>
      <w:r>
        <w:rPr>
          <w:rFonts w:hint="eastAsia" w:ascii="仿宋" w:hAnsi="仿宋" w:eastAsia="仿宋"/>
          <w:color w:val="000000"/>
          <w:szCs w:val="32"/>
          <w:lang w:val="en-US" w:eastAsia="zh-CN"/>
        </w:rPr>
        <w:t>107.53</w:t>
      </w:r>
      <w:r>
        <w:rPr>
          <w:rFonts w:hint="eastAsia" w:ascii="仿宋" w:hAnsi="仿宋" w:eastAsia="仿宋"/>
          <w:color w:val="000000"/>
          <w:szCs w:val="32"/>
        </w:rPr>
        <w:t>万元，其中：</w:t>
      </w:r>
    </w:p>
    <w:p>
      <w:pPr>
        <w:spacing w:line="560" w:lineRule="exact"/>
        <w:ind w:firstLine="645"/>
        <w:rPr>
          <w:rFonts w:ascii="仿宋" w:hAnsi="仿宋" w:eastAsia="仿宋"/>
          <w:color w:val="000000"/>
          <w:szCs w:val="32"/>
        </w:rPr>
      </w:pPr>
      <w:r>
        <w:rPr>
          <w:rFonts w:hint="eastAsia" w:ascii="仿宋" w:hAnsi="仿宋" w:eastAsia="仿宋"/>
          <w:color w:val="000000"/>
          <w:szCs w:val="32"/>
        </w:rPr>
        <w:t>人员经费</w:t>
      </w:r>
      <w:r>
        <w:rPr>
          <w:rFonts w:hint="eastAsia" w:ascii="仿宋" w:hAnsi="仿宋" w:eastAsia="仿宋"/>
          <w:color w:val="000000"/>
          <w:szCs w:val="32"/>
          <w:lang w:val="en-US" w:eastAsia="zh-CN"/>
        </w:rPr>
        <w:t>59.39</w:t>
      </w:r>
      <w:r>
        <w:rPr>
          <w:rFonts w:hint="eastAsia" w:ascii="仿宋" w:hAnsi="仿宋" w:eastAsia="仿宋"/>
          <w:color w:val="000000"/>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Cs w:val="32"/>
        </w:rPr>
        <w:br w:type="textWrapping"/>
      </w:r>
      <w:r>
        <w:rPr>
          <w:rFonts w:hint="eastAsia" w:ascii="仿宋" w:hAnsi="仿宋" w:eastAsia="仿宋"/>
          <w:color w:val="000000"/>
          <w:szCs w:val="32"/>
        </w:rPr>
        <w:t>　　日常公用经费</w:t>
      </w:r>
      <w:r>
        <w:rPr>
          <w:rFonts w:hint="eastAsia" w:ascii="仿宋" w:hAnsi="仿宋" w:eastAsia="仿宋"/>
          <w:color w:val="000000"/>
          <w:szCs w:val="32"/>
          <w:lang w:val="en-US" w:eastAsia="zh-CN"/>
        </w:rPr>
        <w:t>8.44</w:t>
      </w:r>
      <w:r>
        <w:rPr>
          <w:rFonts w:hint="eastAsia" w:ascii="仿宋" w:hAnsi="仿宋" w:eastAsia="仿宋"/>
          <w:color w:val="000000"/>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color w:val="FF0000"/>
          <w:sz w:val="32"/>
          <w:szCs w:val="32"/>
        </w:rPr>
      </w:pPr>
    </w:p>
    <w:p>
      <w:pPr>
        <w:spacing w:line="600" w:lineRule="exact"/>
        <w:ind w:firstLine="640"/>
        <w:outlineLvl w:val="1"/>
        <w:rPr>
          <w:rStyle w:val="17"/>
          <w:rFonts w:ascii="黑体" w:hAnsi="黑体" w:eastAsia="黑体"/>
          <w:b w:val="0"/>
        </w:rPr>
      </w:pPr>
      <w:r>
        <w:rPr>
          <w:rFonts w:hint="eastAsia" w:ascii="黑体" w:eastAsia="黑体"/>
          <w:color w:val="000000"/>
          <w:sz w:val="32"/>
          <w:szCs w:val="32"/>
        </w:rPr>
        <w:t>七、</w:t>
      </w:r>
      <w:r>
        <w:rPr>
          <w:rStyle w:val="17"/>
          <w:rFonts w:hint="eastAsia" w:ascii="黑体" w:hAnsi="黑体" w:eastAsia="黑体"/>
        </w:rPr>
        <w:t>“</w:t>
      </w:r>
      <w:r>
        <w:rPr>
          <w:rStyle w:val="17"/>
          <w:rFonts w:hint="eastAsia" w:ascii="黑体" w:hAnsi="黑体" w:eastAsia="黑体"/>
          <w:b w:val="0"/>
        </w:rPr>
        <w:t>三公”经费财政拨款支出决算情况说明</w:t>
      </w:r>
      <w:bookmarkEnd w:id="32"/>
      <w:bookmarkEnd w:id="33"/>
      <w:bookmarkEnd w:id="34"/>
    </w:p>
    <w:p>
      <w:pPr>
        <w:spacing w:line="600" w:lineRule="exact"/>
        <w:ind w:firstLine="640"/>
        <w:outlineLvl w:val="2"/>
        <w:rPr>
          <w:rFonts w:ascii="仿宋" w:hAnsi="仿宋" w:eastAsia="仿宋"/>
          <w:b/>
          <w:color w:val="000000"/>
          <w:sz w:val="32"/>
          <w:szCs w:val="32"/>
        </w:rPr>
      </w:pPr>
      <w:bookmarkStart w:id="35" w:name="_Toc15377216"/>
      <w:r>
        <w:rPr>
          <w:rFonts w:hint="eastAsia" w:ascii="仿宋" w:hAnsi="仿宋" w:eastAsia="仿宋"/>
          <w:b/>
          <w:color w:val="000000"/>
          <w:sz w:val="32"/>
          <w:szCs w:val="32"/>
        </w:rPr>
        <w:t>（一）“三公”经费财政拨款支出决算总体情况说明</w:t>
      </w:r>
      <w:bookmarkEnd w:id="35"/>
    </w:p>
    <w:p>
      <w:pPr>
        <w:spacing w:line="560" w:lineRule="exact"/>
        <w:ind w:firstLine="640"/>
        <w:rPr>
          <w:rFonts w:hint="eastAsia" w:ascii="仿宋" w:hAnsi="仿宋" w:eastAsia="仿宋"/>
          <w:color w:val="000000"/>
          <w:sz w:val="32"/>
          <w:szCs w:val="32"/>
          <w:lang w:eastAsia="zh-CN"/>
        </w:rPr>
      </w:pPr>
      <w:bookmarkStart w:id="36" w:name="_Toc15377217"/>
      <w:r>
        <w:rPr>
          <w:rFonts w:hint="eastAsia" w:ascii="仿宋" w:hAnsi="仿宋" w:eastAsia="仿宋"/>
          <w:color w:val="000000"/>
          <w:szCs w:val="32"/>
          <w:lang w:eastAsia="zh-CN"/>
        </w:rPr>
        <w:t>2021</w:t>
      </w:r>
      <w:r>
        <w:rPr>
          <w:rFonts w:hint="eastAsia" w:ascii="仿宋" w:hAnsi="仿宋" w:eastAsia="仿宋"/>
          <w:color w:val="000000"/>
          <w:szCs w:val="32"/>
        </w:rPr>
        <w:t>年“三公”经费财政拨款支出决算为</w:t>
      </w:r>
      <w:r>
        <w:rPr>
          <w:rFonts w:hint="eastAsia" w:ascii="仿宋" w:hAnsi="仿宋" w:eastAsia="仿宋"/>
          <w:color w:val="000000"/>
          <w:szCs w:val="32"/>
          <w:lang w:val="en-US" w:eastAsia="zh-CN"/>
        </w:rPr>
        <w:t>0.1</w:t>
      </w:r>
      <w:r>
        <w:rPr>
          <w:rFonts w:hint="eastAsia" w:ascii="仿宋" w:hAnsi="仿宋" w:eastAsia="仿宋"/>
          <w:color w:val="000000"/>
          <w:szCs w:val="32"/>
        </w:rPr>
        <w:t>万元，完成预算</w:t>
      </w:r>
      <w:r>
        <w:rPr>
          <w:rFonts w:hint="eastAsia" w:ascii="仿宋" w:hAnsi="仿宋" w:eastAsia="仿宋"/>
          <w:color w:val="000000"/>
          <w:szCs w:val="32"/>
          <w:lang w:val="en-US" w:eastAsia="zh-CN"/>
        </w:rPr>
        <w:t>100</w:t>
      </w:r>
      <w:r>
        <w:rPr>
          <w:rFonts w:ascii="仿宋" w:hAnsi="仿宋" w:eastAsia="仿宋"/>
          <w:color w:val="000000"/>
          <w:szCs w:val="32"/>
        </w:rPr>
        <w:t>%</w:t>
      </w:r>
      <w:r>
        <w:rPr>
          <w:rFonts w:hint="eastAsia" w:ascii="仿宋" w:hAnsi="仿宋" w:eastAsia="仿宋"/>
          <w:color w:val="000000"/>
          <w:szCs w:val="32"/>
          <w:lang w:val="en-US" w:eastAsia="zh-CN"/>
        </w:rPr>
        <w:t>,</w:t>
      </w:r>
      <w:r>
        <w:rPr>
          <w:rFonts w:hint="eastAsia" w:ascii="仿宋" w:hAnsi="仿宋" w:eastAsia="仿宋"/>
          <w:color w:val="000000"/>
          <w:sz w:val="32"/>
          <w:szCs w:val="32"/>
        </w:rPr>
        <w:t>决算数</w:t>
      </w:r>
      <w:r>
        <w:rPr>
          <w:rFonts w:hint="eastAsia" w:ascii="仿宋" w:hAnsi="仿宋" w:eastAsia="仿宋"/>
          <w:color w:val="000000"/>
          <w:sz w:val="32"/>
          <w:szCs w:val="32"/>
          <w:lang w:eastAsia="zh-CN"/>
        </w:rPr>
        <w:t>等于</w:t>
      </w:r>
      <w:r>
        <w:rPr>
          <w:rFonts w:hint="eastAsia" w:ascii="仿宋" w:hAnsi="仿宋" w:eastAsia="仿宋"/>
          <w:color w:val="000000"/>
          <w:sz w:val="32"/>
          <w:szCs w:val="32"/>
        </w:rPr>
        <w:t>预算数</w:t>
      </w:r>
      <w:r>
        <w:rPr>
          <w:rFonts w:hint="eastAsia" w:ascii="仿宋" w:hAnsi="仿宋" w:eastAsia="仿宋"/>
          <w:color w:val="000000"/>
          <w:sz w:val="32"/>
          <w:szCs w:val="32"/>
          <w:lang w:eastAsia="zh-CN"/>
        </w:rPr>
        <w:t>。</w:t>
      </w:r>
    </w:p>
    <w:p>
      <w:pPr>
        <w:spacing w:line="600" w:lineRule="exact"/>
        <w:ind w:firstLine="640"/>
        <w:outlineLvl w:val="2"/>
        <w:rPr>
          <w:rFonts w:ascii="仿宋" w:hAnsi="仿宋" w:eastAsia="仿宋"/>
          <w:b/>
          <w:color w:val="000000"/>
          <w:sz w:val="32"/>
          <w:szCs w:val="32"/>
        </w:rPr>
      </w:pPr>
      <w:r>
        <w:rPr>
          <w:rFonts w:hint="eastAsia" w:ascii="仿宋" w:hAnsi="仿宋" w:eastAsia="仿宋"/>
          <w:b/>
          <w:color w:val="000000"/>
          <w:sz w:val="32"/>
          <w:szCs w:val="32"/>
        </w:rPr>
        <w:t>（二）“三公”经费财政拨款支出决算具体情况说明</w:t>
      </w:r>
      <w:bookmarkEnd w:id="36"/>
    </w:p>
    <w:p>
      <w:pPr>
        <w:spacing w:line="560" w:lineRule="exact"/>
        <w:ind w:firstLine="640" w:firstLineChars="200"/>
        <w:rPr>
          <w:rFonts w:hint="eastAsia" w:ascii="仿宋" w:hAnsi="仿宋" w:eastAsia="仿宋"/>
          <w:color w:val="000000"/>
          <w:szCs w:val="32"/>
        </w:rPr>
      </w:pPr>
      <w:r>
        <w:rPr>
          <w:rFonts w:hint="eastAsia" w:ascii="仿宋" w:hAnsi="仿宋" w:eastAsia="仿宋"/>
          <w:color w:val="000000"/>
          <w:szCs w:val="32"/>
          <w:lang w:eastAsia="zh-CN"/>
        </w:rPr>
        <w:t>2021</w:t>
      </w:r>
      <w:r>
        <w:rPr>
          <w:rFonts w:hint="eastAsia" w:ascii="仿宋" w:hAnsi="仿宋" w:eastAsia="仿宋"/>
          <w:color w:val="000000"/>
          <w:szCs w:val="32"/>
        </w:rPr>
        <w:t>年“三公”经费财政拨款支出决算中，因公出国（境）费支出决算0万元，占</w:t>
      </w:r>
      <w:r>
        <w:rPr>
          <w:rFonts w:hint="eastAsia" w:ascii="仿宋" w:hAnsi="仿宋" w:eastAsia="仿宋"/>
          <w:color w:val="000000"/>
          <w:szCs w:val="32"/>
          <w:lang w:val="en-US" w:eastAsia="zh-CN"/>
        </w:rPr>
        <w:t>0</w:t>
      </w:r>
      <w:r>
        <w:rPr>
          <w:rFonts w:ascii="仿宋" w:hAnsi="仿宋" w:eastAsia="仿宋"/>
          <w:color w:val="000000"/>
          <w:szCs w:val="32"/>
        </w:rPr>
        <w:t>%</w:t>
      </w:r>
      <w:r>
        <w:rPr>
          <w:rFonts w:hint="eastAsia" w:ascii="仿宋" w:hAnsi="仿宋" w:eastAsia="仿宋"/>
          <w:color w:val="000000"/>
          <w:szCs w:val="32"/>
        </w:rPr>
        <w:t>；公务用车购置及运行维护费支出决算</w:t>
      </w:r>
      <w:r>
        <w:rPr>
          <w:rFonts w:hint="eastAsia" w:ascii="仿宋" w:hAnsi="仿宋" w:eastAsia="仿宋"/>
          <w:color w:val="000000"/>
          <w:szCs w:val="32"/>
          <w:lang w:val="en-US" w:eastAsia="zh-CN"/>
        </w:rPr>
        <w:t>0</w:t>
      </w:r>
      <w:r>
        <w:rPr>
          <w:rFonts w:hint="eastAsia" w:ascii="仿宋" w:hAnsi="仿宋" w:eastAsia="仿宋"/>
          <w:color w:val="000000"/>
          <w:szCs w:val="32"/>
        </w:rPr>
        <w:t>万元，占</w:t>
      </w:r>
      <w:r>
        <w:rPr>
          <w:rFonts w:hint="eastAsia" w:ascii="仿宋" w:hAnsi="仿宋" w:eastAsia="仿宋"/>
          <w:color w:val="000000"/>
          <w:szCs w:val="32"/>
          <w:lang w:val="en-US" w:eastAsia="zh-CN"/>
        </w:rPr>
        <w:t>0</w:t>
      </w:r>
      <w:r>
        <w:rPr>
          <w:rFonts w:ascii="仿宋" w:hAnsi="仿宋" w:eastAsia="仿宋"/>
          <w:color w:val="000000"/>
          <w:szCs w:val="32"/>
        </w:rPr>
        <w:t>%</w:t>
      </w:r>
      <w:r>
        <w:rPr>
          <w:rFonts w:hint="eastAsia" w:ascii="仿宋" w:hAnsi="仿宋" w:eastAsia="仿宋"/>
          <w:color w:val="000000"/>
          <w:szCs w:val="32"/>
        </w:rPr>
        <w:t>；公务接待费支出决算</w:t>
      </w:r>
      <w:r>
        <w:rPr>
          <w:rFonts w:hint="eastAsia" w:ascii="仿宋" w:hAnsi="仿宋" w:eastAsia="仿宋"/>
          <w:color w:val="000000"/>
          <w:szCs w:val="32"/>
          <w:lang w:val="en-US" w:eastAsia="zh-CN"/>
        </w:rPr>
        <w:t>0.1</w:t>
      </w:r>
      <w:r>
        <w:rPr>
          <w:rFonts w:hint="eastAsia" w:ascii="仿宋" w:hAnsi="仿宋" w:eastAsia="仿宋"/>
          <w:color w:val="000000"/>
          <w:szCs w:val="32"/>
        </w:rPr>
        <w:t>万元，占</w:t>
      </w:r>
      <w:r>
        <w:rPr>
          <w:rFonts w:hint="eastAsia" w:ascii="仿宋" w:hAnsi="仿宋" w:eastAsia="仿宋"/>
          <w:color w:val="000000"/>
          <w:szCs w:val="32"/>
          <w:lang w:val="en-US" w:eastAsia="zh-CN"/>
        </w:rPr>
        <w:t>100</w:t>
      </w:r>
      <w:r>
        <w:rPr>
          <w:rFonts w:ascii="仿宋" w:hAnsi="仿宋" w:eastAsia="仿宋"/>
          <w:color w:val="000000"/>
          <w:szCs w:val="32"/>
        </w:rPr>
        <w:t>%</w:t>
      </w:r>
      <w:r>
        <w:rPr>
          <w:rFonts w:hint="eastAsia" w:ascii="仿宋" w:hAnsi="仿宋" w:eastAsia="仿宋"/>
          <w:color w:val="000000"/>
          <w:szCs w:val="32"/>
        </w:rPr>
        <w:t>。具体情况如下：</w:t>
      </w:r>
    </w:p>
    <w:p>
      <w:pPr>
        <w:pStyle w:val="5"/>
        <w:rPr>
          <w:rFonts w:hint="eastAsia" w:eastAsia="仿宋"/>
          <w:lang w:eastAsia="zh-CN"/>
        </w:rPr>
      </w:pPr>
      <w:r>
        <w:rPr>
          <w:rFonts w:hint="eastAsia" w:eastAsia="仿宋"/>
          <w:lang w:eastAsia="zh-CN"/>
        </w:rPr>
        <w:drawing>
          <wp:inline distT="0" distB="0" distL="114300" distR="114300">
            <wp:extent cx="3236595" cy="2691130"/>
            <wp:effectExtent l="4445" t="4445" r="16510" b="952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numPr>
          <w:ilvl w:val="0"/>
          <w:numId w:val="2"/>
        </w:numPr>
        <w:spacing w:line="600" w:lineRule="exact"/>
        <w:ind w:firstLine="640"/>
        <w:rPr>
          <w:rFonts w:hint="eastAsia" w:ascii="仿宋_GB2312"/>
          <w:color w:val="000000"/>
          <w:sz w:val="32"/>
          <w:szCs w:val="32"/>
          <w:lang w:eastAsia="zh-CN"/>
        </w:rPr>
      </w:pPr>
      <w:bookmarkStart w:id="37" w:name="_Toc15396610"/>
      <w:bookmarkStart w:id="38" w:name="_Toc15377218"/>
      <w:bookmarkStart w:id="39" w:name="_Toc10901"/>
      <w:r>
        <w:rPr>
          <w:rFonts w:hint="eastAsia" w:ascii="仿宋_GB2312" w:eastAsia="仿宋_GB2312"/>
          <w:b/>
          <w:color w:val="000000"/>
          <w:sz w:val="32"/>
          <w:szCs w:val="32"/>
        </w:rPr>
        <w:t>因公出国（境）经费支出</w:t>
      </w:r>
      <w:r>
        <w:rPr>
          <w:rFonts w:hint="eastAsia" w:ascii="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w:t>
      </w:r>
      <w:r>
        <w:rPr>
          <w:rFonts w:hint="eastAsia" w:ascii="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color w:val="000000"/>
          <w:sz w:val="32"/>
          <w:szCs w:val="32"/>
          <w:lang w:eastAsia="zh-CN"/>
        </w:rPr>
        <w:t>持平。</w:t>
      </w:r>
    </w:p>
    <w:p>
      <w:pPr>
        <w:numPr>
          <w:ilvl w:val="0"/>
          <w:numId w:val="0"/>
        </w:numPr>
        <w:spacing w:line="600" w:lineRule="exact"/>
        <w:ind w:firstLine="643" w:firstLineChars="200"/>
        <w:rPr>
          <w:rFonts w:hint="eastAsia" w:ascii="仿宋_GB2312" w:eastAsia="仿宋_GB2312"/>
          <w:b/>
          <w:color w:val="000000"/>
          <w:sz w:val="32"/>
          <w:szCs w:val="32"/>
          <w:lang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color w:val="000000"/>
          <w:sz w:val="32"/>
          <w:szCs w:val="32"/>
          <w:lang w:val="en-US" w:eastAsia="zh-CN"/>
        </w:rPr>
        <w:t>0</w:t>
      </w:r>
      <w:r>
        <w:rPr>
          <w:rFonts w:hint="eastAsia" w:ascii="仿宋_GB2312" w:eastAsia="仿宋_GB2312"/>
          <w:color w:val="000000"/>
          <w:sz w:val="32"/>
          <w:szCs w:val="32"/>
        </w:rPr>
        <w:t>万元</w:t>
      </w:r>
      <w:r>
        <w:rPr>
          <w:rFonts w:ascii="仿宋_GB2312" w:eastAsia="仿宋_GB2312"/>
          <w:color w:val="000000"/>
          <w:sz w:val="32"/>
          <w:szCs w:val="32"/>
        </w:rPr>
        <w:t>,</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w:t>
      </w:r>
      <w:r>
        <w:rPr>
          <w:rFonts w:hint="eastAsia" w:ascii="仿宋_GB2312"/>
          <w:color w:val="000000"/>
          <w:sz w:val="32"/>
          <w:szCs w:val="32"/>
          <w:lang w:eastAsia="zh-CN"/>
        </w:rPr>
        <w:t>与</w:t>
      </w:r>
      <w:r>
        <w:rPr>
          <w:rFonts w:hint="eastAsia" w:ascii="仿宋_GB2312"/>
          <w:color w:val="000000"/>
          <w:sz w:val="32"/>
          <w:szCs w:val="32"/>
          <w:lang w:val="en-US" w:eastAsia="zh-CN"/>
        </w:rPr>
        <w:t>2020</w:t>
      </w:r>
      <w:r>
        <w:rPr>
          <w:rFonts w:hint="eastAsia" w:ascii="仿宋_GB2312" w:eastAsia="仿宋_GB2312"/>
          <w:color w:val="000000"/>
          <w:sz w:val="32"/>
          <w:szCs w:val="32"/>
        </w:rPr>
        <w:t>年减</w:t>
      </w:r>
      <w:r>
        <w:rPr>
          <w:rFonts w:hint="eastAsia" w:ascii="仿宋_GB2312"/>
          <w:color w:val="000000"/>
          <w:sz w:val="32"/>
          <w:szCs w:val="32"/>
          <w:lang w:eastAsia="zh-CN"/>
        </w:rPr>
        <w:t>持平。</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color w:val="000000"/>
          <w:sz w:val="32"/>
          <w:szCs w:val="32"/>
          <w:lang w:val="en-US" w:eastAsia="zh-CN"/>
        </w:rPr>
        <w:t>0</w:t>
      </w:r>
      <w:r>
        <w:rPr>
          <w:rFonts w:hint="eastAsia" w:ascii="仿宋_GB2312" w:eastAsia="仿宋_GB2312"/>
          <w:color w:val="000000"/>
          <w:sz w:val="32"/>
          <w:szCs w:val="32"/>
        </w:rPr>
        <w:t>万元，主要用于</w:t>
      </w:r>
      <w:r>
        <w:rPr>
          <w:rFonts w:hint="eastAsia" w:ascii="仿宋_GB2312"/>
          <w:color w:val="000000"/>
          <w:sz w:val="32"/>
          <w:szCs w:val="32"/>
          <w:lang w:eastAsia="zh-CN"/>
        </w:rPr>
        <w:t>公务出行</w:t>
      </w:r>
      <w:r>
        <w:rPr>
          <w:rFonts w:hint="eastAsia" w:ascii="仿宋_GB2312" w:eastAsia="仿宋_GB2312"/>
          <w:color w:val="000000"/>
          <w:sz w:val="32"/>
          <w:szCs w:val="32"/>
        </w:rPr>
        <w:t>。截至</w:t>
      </w:r>
      <w:r>
        <w:rPr>
          <w:rFonts w:ascii="仿宋_GB2312" w:eastAsia="仿宋_GB2312"/>
          <w:color w:val="000000"/>
          <w:sz w:val="32"/>
          <w:szCs w:val="32"/>
        </w:rPr>
        <w:t>202</w:t>
      </w:r>
      <w:r>
        <w:rPr>
          <w:rFonts w:hint="eastAsia" w:ascii="仿宋_GB2312"/>
          <w:color w:val="000000"/>
          <w:sz w:val="32"/>
          <w:szCs w:val="32"/>
          <w:lang w:val="en-US" w:eastAsia="zh-CN"/>
        </w:rPr>
        <w:t>1</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color w:val="000000"/>
          <w:sz w:val="32"/>
          <w:szCs w:val="32"/>
          <w:lang w:val="en-US" w:eastAsia="zh-CN"/>
        </w:rPr>
        <w:t>1</w:t>
      </w:r>
      <w:r>
        <w:rPr>
          <w:rFonts w:hint="eastAsia" w:ascii="仿宋_GB2312" w:eastAsia="仿宋_GB2312"/>
          <w:color w:val="000000"/>
          <w:sz w:val="32"/>
          <w:szCs w:val="32"/>
        </w:rPr>
        <w:t>辆、越野车</w:t>
      </w:r>
      <w:r>
        <w:rPr>
          <w:rFonts w:hint="eastAsia" w:ascii="仿宋_GB2312"/>
          <w:color w:val="000000"/>
          <w:sz w:val="32"/>
          <w:szCs w:val="32"/>
          <w:lang w:val="en-US" w:eastAsia="zh-CN"/>
        </w:rPr>
        <w:t>0</w:t>
      </w:r>
      <w:r>
        <w:rPr>
          <w:rFonts w:hint="eastAsia" w:ascii="仿宋_GB2312" w:eastAsia="仿宋_GB2312"/>
          <w:color w:val="000000"/>
          <w:sz w:val="32"/>
          <w:szCs w:val="32"/>
        </w:rPr>
        <w:t>辆、载客汽车</w:t>
      </w:r>
      <w:r>
        <w:rPr>
          <w:rFonts w:hint="eastAsia" w:ascii="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color w:val="000000"/>
          <w:sz w:val="32"/>
          <w:szCs w:val="32"/>
          <w:lang w:val="en-US" w:eastAsia="zh-CN"/>
        </w:rPr>
        <w:t>0</w:t>
      </w:r>
      <w:r>
        <w:rPr>
          <w:rFonts w:hint="eastAsia" w:ascii="仿宋_GB2312" w:eastAsia="仿宋_GB2312"/>
          <w:color w:val="000000"/>
          <w:sz w:val="32"/>
          <w:szCs w:val="32"/>
        </w:rPr>
        <w:t>万元。主要用于公务用车燃料费、维修费、过路过桥费、保险费等支出。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w:t>
      </w:r>
      <w:r>
        <w:rPr>
          <w:rFonts w:hint="eastAsia" w:ascii="仿宋_GB2312"/>
          <w:color w:val="000000"/>
          <w:sz w:val="32"/>
          <w:szCs w:val="32"/>
          <w:lang w:val="en-US" w:eastAsia="zh-CN"/>
        </w:rPr>
        <w:t>20</w:t>
      </w:r>
      <w:r>
        <w:rPr>
          <w:rFonts w:hint="eastAsia" w:ascii="仿宋_GB2312" w:eastAsia="仿宋_GB2312"/>
          <w:color w:val="000000"/>
          <w:sz w:val="32"/>
          <w:szCs w:val="32"/>
        </w:rPr>
        <w:t>年减少</w:t>
      </w:r>
      <w:r>
        <w:rPr>
          <w:rFonts w:hint="eastAsia" w:ascii="仿宋_GB2312"/>
          <w:color w:val="000000"/>
          <w:sz w:val="32"/>
          <w:szCs w:val="32"/>
          <w:lang w:val="en-US" w:eastAsia="zh-CN"/>
        </w:rPr>
        <w:t>0.1</w:t>
      </w:r>
      <w:r>
        <w:rPr>
          <w:rFonts w:hint="eastAsia" w:ascii="仿宋_GB2312" w:eastAsia="仿宋_GB2312"/>
          <w:color w:val="000000"/>
          <w:sz w:val="32"/>
          <w:szCs w:val="32"/>
        </w:rPr>
        <w:t>万元，下降</w:t>
      </w:r>
      <w:r>
        <w:rPr>
          <w:rFonts w:hint="eastAsia" w:ascii="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 w:hAnsi="仿宋" w:eastAsia="仿宋"/>
          <w:color w:val="000000"/>
          <w:sz w:val="32"/>
          <w:szCs w:val="32"/>
          <w:lang w:eastAsia="zh-CN"/>
        </w:rPr>
        <w:t>厉行节俭，减少事业运行的支出</w:t>
      </w:r>
      <w:r>
        <w:rPr>
          <w:rFonts w:hint="eastAsia" w:ascii="仿宋_GB2312" w:eastAsia="仿宋_GB2312"/>
          <w:color w:val="000000"/>
          <w:sz w:val="32"/>
          <w:szCs w:val="32"/>
        </w:rPr>
        <w:t>。其中：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万元，主要用于执行公务、开展业务活动开支的交通费、住宿费、用餐费等。国内公务接待</w:t>
      </w:r>
      <w:r>
        <w:rPr>
          <w:rFonts w:hint="eastAsia" w:ascii="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color w:val="000000"/>
          <w:sz w:val="32"/>
          <w:szCs w:val="32"/>
          <w:lang w:val="en-US" w:eastAsia="zh-CN"/>
        </w:rPr>
        <w:t>0</w:t>
      </w:r>
      <w:r>
        <w:rPr>
          <w:rFonts w:hint="eastAsia" w:ascii="仿宋_GB2312" w:eastAsia="仿宋_GB2312"/>
          <w:color w:val="000000"/>
          <w:sz w:val="32"/>
          <w:szCs w:val="32"/>
        </w:rPr>
        <w:t>人次（不包括陪同人员），共计支出</w:t>
      </w:r>
      <w:r>
        <w:rPr>
          <w:rFonts w:hint="eastAsia" w:ascii="仿宋_GB2312"/>
          <w:color w:val="000000"/>
          <w:sz w:val="32"/>
          <w:szCs w:val="32"/>
          <w:lang w:val="en-US" w:eastAsia="zh-CN"/>
        </w:rPr>
        <w:t>0</w:t>
      </w:r>
      <w:r>
        <w:rPr>
          <w:rFonts w:hint="eastAsia" w:ascii="仿宋_GB2312" w:eastAsia="仿宋_GB2312"/>
          <w:color w:val="000000"/>
          <w:sz w:val="32"/>
          <w:szCs w:val="32"/>
        </w:rPr>
        <w:t>万元，具体内容包括：</w:t>
      </w:r>
      <w:r>
        <w:rPr>
          <w:rFonts w:hint="eastAsia" w:ascii="仿宋_GB2312"/>
          <w:color w:val="000000"/>
          <w:sz w:val="32"/>
          <w:szCs w:val="32"/>
          <w:lang w:eastAsia="zh-CN"/>
        </w:rPr>
        <w:t>无</w:t>
      </w:r>
      <w:r>
        <w:rPr>
          <w:rFonts w:hint="eastAsia" w:ascii="仿宋_GB2312" w:eastAsia="仿宋_GB2312"/>
          <w:color w:val="000000"/>
          <w:sz w:val="32"/>
          <w:szCs w:val="32"/>
        </w:rPr>
        <w:t>。</w:t>
      </w:r>
    </w:p>
    <w:p>
      <w:pPr>
        <w:spacing w:line="600" w:lineRule="exact"/>
        <w:ind w:firstLine="643" w:firstLineChars="200"/>
        <w:rPr>
          <w:rFonts w:ascii="仿宋_GB2312" w:eastAsia="仿宋_GB2312"/>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万元，外事接待</w:t>
      </w:r>
      <w:r>
        <w:rPr>
          <w:rFonts w:hint="eastAsia" w:ascii="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color w:val="000000"/>
          <w:sz w:val="32"/>
          <w:szCs w:val="32"/>
          <w:lang w:val="en-US" w:eastAsia="zh-CN"/>
        </w:rPr>
        <w:t>0</w:t>
      </w:r>
      <w:r>
        <w:rPr>
          <w:rFonts w:hint="eastAsia" w:ascii="仿宋_GB2312" w:eastAsia="仿宋_GB2312"/>
          <w:color w:val="000000"/>
          <w:sz w:val="32"/>
          <w:szCs w:val="32"/>
        </w:rPr>
        <w:t>人，共计支出</w:t>
      </w:r>
      <w:r>
        <w:rPr>
          <w:rFonts w:hint="eastAsia" w:ascii="仿宋_GB2312"/>
          <w:color w:val="000000"/>
          <w:sz w:val="32"/>
          <w:szCs w:val="32"/>
          <w:lang w:val="en-US" w:eastAsia="zh-CN"/>
        </w:rPr>
        <w:t>0</w:t>
      </w:r>
      <w:r>
        <w:rPr>
          <w:rFonts w:hint="eastAsia" w:ascii="仿宋_GB2312" w:eastAsia="仿宋_GB2312"/>
          <w:color w:val="000000"/>
          <w:sz w:val="32"/>
          <w:szCs w:val="32"/>
        </w:rPr>
        <w:t>万元，主要用于执行公务、开展业务活动开支的交通费、住宿费、用餐费等。</w:t>
      </w:r>
    </w:p>
    <w:p>
      <w:pPr>
        <w:spacing w:line="600" w:lineRule="exact"/>
        <w:ind w:firstLine="640"/>
        <w:outlineLvl w:val="1"/>
        <w:rPr>
          <w:rStyle w:val="17"/>
          <w:rFonts w:ascii="黑体" w:hAnsi="黑体" w:eastAsia="黑体"/>
        </w:rPr>
      </w:pPr>
      <w:r>
        <w:rPr>
          <w:rFonts w:hint="eastAsia" w:ascii="黑体" w:eastAsia="黑体"/>
          <w:color w:val="000000"/>
          <w:sz w:val="32"/>
          <w:szCs w:val="32"/>
        </w:rPr>
        <w:t>八、</w:t>
      </w:r>
      <w:r>
        <w:rPr>
          <w:rStyle w:val="17"/>
          <w:rFonts w:hint="eastAsia" w:ascii="黑体" w:hAnsi="黑体" w:eastAsia="黑体"/>
          <w:b w:val="0"/>
        </w:rPr>
        <w:t>政府性基金预算支出决算情况说明</w:t>
      </w:r>
      <w:bookmarkEnd w:id="37"/>
      <w:bookmarkEnd w:id="38"/>
      <w:bookmarkEnd w:id="39"/>
    </w:p>
    <w:p>
      <w:pPr>
        <w:spacing w:line="600" w:lineRule="exact"/>
        <w:ind w:firstLine="640"/>
        <w:rPr>
          <w:rFonts w:hint="eastAsia" w:ascii="仿宋_GB2312" w:eastAsia="仿宋_GB2312"/>
          <w:color w:val="000000"/>
          <w:sz w:val="32"/>
          <w:szCs w:val="32"/>
          <w:lang w:eastAsia="zh-CN"/>
        </w:rPr>
      </w:pPr>
      <w:bookmarkStart w:id="40" w:name="_Toc15396611"/>
      <w:bookmarkStart w:id="41" w:name="_Toc26293"/>
      <w:bookmarkStart w:id="42" w:name="_Toc15377219"/>
      <w:r>
        <w:rPr>
          <w:rFonts w:hint="eastAsia" w:ascii="仿宋_GB2312"/>
          <w:color w:val="000000"/>
          <w:szCs w:val="32"/>
          <w:lang w:eastAsia="zh-CN"/>
        </w:rPr>
        <w:t>2021</w:t>
      </w:r>
      <w:r>
        <w:rPr>
          <w:rFonts w:hint="eastAsia" w:ascii="仿宋_GB2312"/>
          <w:color w:val="000000"/>
          <w:szCs w:val="32"/>
        </w:rPr>
        <w:t>年政府性基金预算拨款支出</w:t>
      </w:r>
      <w:r>
        <w:rPr>
          <w:rFonts w:hint="eastAsia" w:ascii="仿宋_GB2312"/>
          <w:color w:val="000000"/>
          <w:szCs w:val="32"/>
          <w:lang w:val="en-US" w:eastAsia="zh-CN"/>
        </w:rPr>
        <w:t>0</w:t>
      </w:r>
      <w:r>
        <w:rPr>
          <w:rFonts w:hint="eastAsia" w:ascii="仿宋_GB2312"/>
          <w:color w:val="000000"/>
          <w:szCs w:val="32"/>
        </w:rPr>
        <w:t>万元</w:t>
      </w:r>
      <w:r>
        <w:rPr>
          <w:rFonts w:hint="eastAsia" w:ascii="仿宋_GB2312"/>
          <w:color w:val="000000"/>
          <w:szCs w:val="32"/>
          <w:lang w:eastAsia="zh-CN"/>
        </w:rPr>
        <w:t>。</w:t>
      </w:r>
    </w:p>
    <w:p>
      <w:pPr>
        <w:numPr>
          <w:ilvl w:val="0"/>
          <w:numId w:val="3"/>
        </w:numPr>
        <w:spacing w:line="600" w:lineRule="exact"/>
        <w:ind w:firstLine="640"/>
        <w:outlineLvl w:val="1"/>
        <w:rPr>
          <w:rStyle w:val="17"/>
          <w:rFonts w:ascii="黑体" w:hAnsi="黑体" w:eastAsia="黑体"/>
          <w:b w:val="0"/>
        </w:rPr>
      </w:pPr>
      <w:r>
        <w:rPr>
          <w:rStyle w:val="17"/>
          <w:rFonts w:hint="eastAsia" w:ascii="黑体" w:hAnsi="黑体" w:eastAsia="黑体"/>
          <w:b w:val="0"/>
        </w:rPr>
        <w:t>国有资本经营预算支出决算情况说明</w:t>
      </w:r>
      <w:bookmarkEnd w:id="40"/>
      <w:bookmarkEnd w:id="41"/>
      <w:bookmarkEnd w:id="42"/>
    </w:p>
    <w:p>
      <w:pPr>
        <w:spacing w:line="560" w:lineRule="exact"/>
        <w:ind w:firstLine="640"/>
        <w:rPr>
          <w:rFonts w:ascii="仿宋_GB2312"/>
          <w:color w:val="000000"/>
          <w:szCs w:val="32"/>
        </w:rPr>
      </w:pPr>
      <w:r>
        <w:rPr>
          <w:rFonts w:hint="eastAsia" w:ascii="仿宋_GB2312"/>
          <w:color w:val="000000"/>
          <w:szCs w:val="32"/>
          <w:lang w:eastAsia="zh-CN"/>
        </w:rPr>
        <w:t>2021</w:t>
      </w:r>
      <w:r>
        <w:rPr>
          <w:rFonts w:hint="eastAsia" w:ascii="仿宋_GB2312"/>
          <w:color w:val="000000"/>
          <w:szCs w:val="32"/>
        </w:rPr>
        <w:t>年国有资本经营预算拨款支出0万元。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17"/>
          <w:rFonts w:ascii="黑体" w:hAnsi="黑体" w:eastAsia="黑体"/>
        </w:rPr>
      </w:pPr>
      <w:bookmarkStart w:id="43" w:name="_Toc15377221"/>
      <w:bookmarkStart w:id="44" w:name="_Toc15396612"/>
      <w:bookmarkStart w:id="45" w:name="_Toc27271"/>
      <w:r>
        <w:rPr>
          <w:rFonts w:hint="eastAsia" w:ascii="黑体" w:hAnsi="黑体" w:eastAsia="黑体"/>
          <w:color w:val="000000"/>
          <w:sz w:val="32"/>
          <w:szCs w:val="32"/>
        </w:rPr>
        <w:t>十</w:t>
      </w:r>
      <w:r>
        <w:rPr>
          <w:rStyle w:val="17"/>
          <w:rFonts w:hint="eastAsia" w:ascii="黑体" w:hAnsi="黑体" w:eastAsia="黑体"/>
        </w:rPr>
        <w:t>、</w:t>
      </w:r>
      <w:r>
        <w:rPr>
          <w:rStyle w:val="17"/>
          <w:rFonts w:hint="eastAsia" w:ascii="黑体" w:hAnsi="黑体" w:eastAsia="黑体"/>
          <w:b w:val="0"/>
        </w:rPr>
        <w:t>其他重要事项的情况说明</w:t>
      </w:r>
      <w:bookmarkEnd w:id="43"/>
      <w:bookmarkEnd w:id="44"/>
      <w:bookmarkEnd w:id="45"/>
    </w:p>
    <w:p>
      <w:pPr>
        <w:spacing w:line="600" w:lineRule="exact"/>
        <w:ind w:firstLine="643" w:firstLineChars="200"/>
        <w:outlineLvl w:val="2"/>
        <w:rPr>
          <w:rFonts w:ascii="仿宋" w:hAnsi="仿宋" w:eastAsia="仿宋"/>
          <w:color w:val="000000"/>
          <w:sz w:val="32"/>
          <w:szCs w:val="32"/>
        </w:rPr>
      </w:pPr>
      <w:bookmarkStart w:id="46" w:name="_Toc15377222"/>
      <w:r>
        <w:rPr>
          <w:rFonts w:hint="eastAsia" w:ascii="仿宋" w:hAnsi="仿宋" w:eastAsia="仿宋"/>
          <w:b/>
          <w:color w:val="000000"/>
          <w:sz w:val="32"/>
          <w:szCs w:val="32"/>
        </w:rPr>
        <w:t>（一）机关运行经费支出情况</w:t>
      </w:r>
      <w:bookmarkEnd w:id="46"/>
    </w:p>
    <w:p>
      <w:pPr>
        <w:spacing w:line="560" w:lineRule="exact"/>
        <w:ind w:firstLine="640" w:firstLineChars="200"/>
        <w:rPr>
          <w:rFonts w:ascii="仿宋_GB2312" w:eastAsia="仿宋_GB2312"/>
          <w:color w:val="000000"/>
          <w:sz w:val="32"/>
          <w:szCs w:val="32"/>
        </w:rPr>
      </w:pPr>
      <w:r>
        <w:rPr>
          <w:rFonts w:hint="eastAsia" w:ascii="仿宋_GB2312"/>
          <w:color w:val="000000"/>
          <w:szCs w:val="32"/>
          <w:lang w:eastAsia="zh-CN"/>
        </w:rPr>
        <w:t>2021</w:t>
      </w:r>
      <w:r>
        <w:rPr>
          <w:rFonts w:hint="eastAsia" w:ascii="仿宋_GB2312"/>
          <w:color w:val="000000"/>
          <w:szCs w:val="32"/>
        </w:rPr>
        <w:t>年，</w:t>
      </w:r>
      <w:r>
        <w:rPr>
          <w:rFonts w:hint="eastAsia" w:ascii="仿宋_GB2312"/>
          <w:color w:val="000000"/>
          <w:szCs w:val="32"/>
          <w:lang w:eastAsia="zh-CN"/>
        </w:rPr>
        <w:t>法学会事业</w:t>
      </w:r>
      <w:r>
        <w:rPr>
          <w:rFonts w:hint="eastAsia" w:ascii="仿宋_GB2312"/>
          <w:color w:val="000000"/>
          <w:szCs w:val="32"/>
        </w:rPr>
        <w:t>运行经费支出</w:t>
      </w:r>
      <w:r>
        <w:rPr>
          <w:rFonts w:hint="eastAsia" w:ascii="仿宋_GB2312"/>
          <w:color w:val="000000"/>
          <w:szCs w:val="32"/>
          <w:lang w:val="en-US" w:eastAsia="zh-CN"/>
        </w:rPr>
        <w:t>51.54</w:t>
      </w:r>
      <w:r>
        <w:rPr>
          <w:rFonts w:hint="eastAsia" w:ascii="仿宋_GB2312"/>
          <w:color w:val="000000"/>
          <w:szCs w:val="32"/>
        </w:rPr>
        <w:t>万元，比</w:t>
      </w:r>
      <w:r>
        <w:rPr>
          <w:rFonts w:hint="eastAsia" w:ascii="仿宋_GB2312"/>
          <w:color w:val="000000"/>
          <w:szCs w:val="32"/>
          <w:lang w:eastAsia="zh-CN"/>
        </w:rPr>
        <w:t>2020</w:t>
      </w:r>
      <w:r>
        <w:rPr>
          <w:rFonts w:hint="eastAsia" w:ascii="仿宋_GB2312"/>
          <w:color w:val="000000"/>
          <w:szCs w:val="32"/>
        </w:rPr>
        <w:t>年</w:t>
      </w:r>
      <w:r>
        <w:rPr>
          <w:rFonts w:hint="eastAsia" w:ascii="仿宋_GB2312"/>
          <w:color w:val="000000"/>
          <w:szCs w:val="32"/>
          <w:lang w:eastAsia="zh-CN"/>
        </w:rPr>
        <w:t>减少</w:t>
      </w:r>
      <w:r>
        <w:rPr>
          <w:rFonts w:hint="eastAsia" w:ascii="仿宋_GB2312"/>
          <w:color w:val="000000"/>
          <w:szCs w:val="32"/>
          <w:lang w:val="en-US" w:eastAsia="zh-CN"/>
        </w:rPr>
        <w:t>19.59</w:t>
      </w:r>
      <w:r>
        <w:rPr>
          <w:rFonts w:hint="eastAsia" w:ascii="仿宋_GB2312"/>
          <w:color w:val="000000"/>
          <w:szCs w:val="32"/>
        </w:rPr>
        <w:t>万元，</w:t>
      </w:r>
      <w:r>
        <w:rPr>
          <w:rFonts w:hint="eastAsia" w:ascii="仿宋_GB2312"/>
          <w:color w:val="000000"/>
          <w:szCs w:val="32"/>
          <w:lang w:eastAsia="zh-CN"/>
        </w:rPr>
        <w:t>减少</w:t>
      </w:r>
      <w:r>
        <w:rPr>
          <w:rFonts w:hint="eastAsia" w:ascii="仿宋_GB2312"/>
          <w:color w:val="000000"/>
          <w:szCs w:val="32"/>
          <w:lang w:val="en-US" w:eastAsia="zh-CN"/>
        </w:rPr>
        <w:t>380</w:t>
      </w:r>
      <w:r>
        <w:rPr>
          <w:rFonts w:ascii="仿宋_GB2312"/>
          <w:color w:val="000000"/>
          <w:szCs w:val="32"/>
        </w:rPr>
        <w:t>%</w:t>
      </w:r>
      <w:r>
        <w:rPr>
          <w:rFonts w:hint="eastAsia" w:ascii="仿宋_GB2312"/>
          <w:color w:val="000000"/>
          <w:szCs w:val="32"/>
        </w:rPr>
        <w:t>。</w:t>
      </w:r>
      <w:r>
        <w:rPr>
          <w:rFonts w:hint="eastAsia" w:ascii="仿宋_GB2312" w:eastAsia="仿宋_GB2312"/>
          <w:color w:val="000000"/>
          <w:sz w:val="32"/>
          <w:szCs w:val="32"/>
        </w:rPr>
        <w:t>主要原因是</w:t>
      </w:r>
      <w:r>
        <w:rPr>
          <w:rFonts w:hint="eastAsia" w:ascii="仿宋" w:hAnsi="仿宋" w:eastAsia="仿宋"/>
          <w:color w:val="000000"/>
          <w:szCs w:val="32"/>
          <w:lang w:eastAsia="zh-CN"/>
        </w:rPr>
        <w:t>厉行节约，减少事业运行的支出</w:t>
      </w:r>
      <w:r>
        <w:rPr>
          <w:rFonts w:hint="eastAsia" w:ascii="仿宋_GB2312" w:hAnsi="仿宋" w:eastAsia="仿宋"/>
          <w:szCs w:val="32"/>
          <w:lang w:eastAsia="zh-CN"/>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47" w:name="_Toc15377223"/>
      <w:r>
        <w:rPr>
          <w:rFonts w:hint="eastAsia" w:ascii="仿宋" w:hAnsi="仿宋" w:eastAsia="仿宋"/>
          <w:b/>
          <w:color w:val="000000"/>
          <w:sz w:val="32"/>
          <w:szCs w:val="32"/>
        </w:rPr>
        <w:t>（二）政府采购支出情况</w:t>
      </w:r>
      <w:bookmarkEnd w:id="47"/>
    </w:p>
    <w:p>
      <w:pPr>
        <w:spacing w:line="560" w:lineRule="exact"/>
        <w:ind w:firstLine="640" w:firstLineChars="200"/>
        <w:rPr>
          <w:rFonts w:ascii="仿宋_GB2312"/>
          <w:color w:val="000000"/>
          <w:szCs w:val="32"/>
        </w:rPr>
      </w:pPr>
      <w:bookmarkStart w:id="48" w:name="_Toc15377224"/>
      <w:r>
        <w:rPr>
          <w:rFonts w:hint="eastAsia" w:ascii="仿宋_GB2312"/>
          <w:color w:val="000000"/>
          <w:szCs w:val="32"/>
          <w:lang w:eastAsia="zh-CN"/>
        </w:rPr>
        <w:t>2021</w:t>
      </w:r>
      <w:r>
        <w:rPr>
          <w:rFonts w:hint="eastAsia" w:ascii="仿宋_GB2312"/>
          <w:color w:val="000000"/>
          <w:szCs w:val="32"/>
        </w:rPr>
        <w:t>年，</w:t>
      </w:r>
      <w:r>
        <w:rPr>
          <w:rFonts w:hint="eastAsia" w:ascii="仿宋_GB2312"/>
          <w:color w:val="000000"/>
          <w:szCs w:val="32"/>
          <w:lang w:eastAsia="zh-CN"/>
        </w:rPr>
        <w:t>法学会</w:t>
      </w:r>
      <w:r>
        <w:rPr>
          <w:rFonts w:hint="eastAsia" w:ascii="仿宋_GB2312"/>
          <w:color w:val="000000"/>
          <w:szCs w:val="32"/>
        </w:rPr>
        <w:t>政府采购支出总额0万元，其中：政府采购货物支出0万元、政府采购工程支出0万元、政府采购服务支出0万元。主要用于日常办公、项目建设。授予中小企业合同金额0万元，占政府采购支出总额的0</w:t>
      </w:r>
      <w:r>
        <w:rPr>
          <w:rFonts w:ascii="仿宋_GB2312"/>
          <w:color w:val="000000"/>
          <w:szCs w:val="32"/>
        </w:rPr>
        <w:t>%</w:t>
      </w:r>
      <w:r>
        <w:rPr>
          <w:rFonts w:hint="eastAsia" w:ascii="仿宋_GB2312"/>
          <w:color w:val="000000"/>
          <w:szCs w:val="32"/>
        </w:rPr>
        <w:t>，其中：授予小微企业合同金额0万元，占政府采购支出总额的0</w:t>
      </w:r>
      <w:r>
        <w:rPr>
          <w:rFonts w:ascii="仿宋_GB2312"/>
          <w:color w:val="000000"/>
          <w:szCs w:val="32"/>
        </w:rPr>
        <w:t>%</w:t>
      </w:r>
      <w:r>
        <w:rPr>
          <w:rFonts w:hint="eastAsia" w:ascii="仿宋_GB2312"/>
          <w:color w:val="000000"/>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bookmarkEnd w:id="48"/>
    </w:p>
    <w:p>
      <w:pPr>
        <w:autoSpaceDE w:val="0"/>
        <w:autoSpaceDN w:val="0"/>
        <w:adjustRightInd w:val="0"/>
        <w:spacing w:line="600" w:lineRule="exact"/>
        <w:ind w:firstLine="640" w:firstLineChars="200"/>
        <w:jc w:val="left"/>
        <w:outlineLvl w:val="2"/>
        <w:rPr>
          <w:rFonts w:hint="eastAsia" w:ascii="仿宋_GB2312"/>
          <w:color w:val="000000"/>
          <w:szCs w:val="32"/>
        </w:rPr>
      </w:pPr>
      <w:r>
        <w:rPr>
          <w:rFonts w:hint="eastAsia" w:ascii="仿宋_GB2312"/>
          <w:color w:val="000000"/>
          <w:szCs w:val="32"/>
        </w:rPr>
        <w:t>截至</w:t>
      </w:r>
      <w:r>
        <w:rPr>
          <w:rFonts w:hint="eastAsia" w:ascii="仿宋_GB2312"/>
          <w:color w:val="000000"/>
          <w:szCs w:val="32"/>
          <w:lang w:eastAsia="zh-CN"/>
        </w:rPr>
        <w:t>2021</w:t>
      </w:r>
      <w:r>
        <w:rPr>
          <w:rFonts w:hint="eastAsia" w:ascii="仿宋_GB2312"/>
          <w:color w:val="000000"/>
          <w:szCs w:val="32"/>
        </w:rPr>
        <w:t>年</w:t>
      </w:r>
      <w:r>
        <w:rPr>
          <w:rFonts w:ascii="仿宋_GB2312"/>
          <w:color w:val="000000"/>
          <w:szCs w:val="32"/>
        </w:rPr>
        <w:t>12</w:t>
      </w:r>
      <w:r>
        <w:rPr>
          <w:rFonts w:hint="eastAsia" w:ascii="仿宋_GB2312"/>
          <w:color w:val="000000"/>
          <w:szCs w:val="32"/>
        </w:rPr>
        <w:t>月</w:t>
      </w:r>
      <w:r>
        <w:rPr>
          <w:rFonts w:ascii="仿宋_GB2312"/>
          <w:color w:val="000000"/>
          <w:szCs w:val="32"/>
        </w:rPr>
        <w:t>31</w:t>
      </w:r>
      <w:r>
        <w:rPr>
          <w:rFonts w:hint="eastAsia" w:ascii="仿宋_GB2312"/>
          <w:color w:val="000000"/>
          <w:szCs w:val="32"/>
        </w:rPr>
        <w:t>日，</w:t>
      </w:r>
      <w:r>
        <w:rPr>
          <w:rFonts w:hint="eastAsia" w:ascii="仿宋_GB2312"/>
          <w:color w:val="000000"/>
          <w:szCs w:val="32"/>
          <w:lang w:eastAsia="zh-CN"/>
        </w:rPr>
        <w:t>法学会</w:t>
      </w:r>
      <w:r>
        <w:rPr>
          <w:rFonts w:hint="eastAsia" w:ascii="仿宋_GB2312"/>
          <w:color w:val="000000"/>
          <w:szCs w:val="32"/>
        </w:rPr>
        <w:t>共有车辆</w:t>
      </w:r>
      <w:r>
        <w:rPr>
          <w:rFonts w:hint="eastAsia" w:ascii="仿宋_GB2312"/>
          <w:color w:val="000000"/>
          <w:szCs w:val="32"/>
          <w:lang w:val="en-US" w:eastAsia="zh-CN"/>
        </w:rPr>
        <w:t>0</w:t>
      </w:r>
      <w:r>
        <w:rPr>
          <w:rFonts w:hint="eastAsia" w:ascii="仿宋_GB2312"/>
          <w:color w:val="000000"/>
          <w:szCs w:val="32"/>
        </w:rPr>
        <w:t>辆，其中：主要领导干部用车</w:t>
      </w:r>
      <w:r>
        <w:rPr>
          <w:rFonts w:hint="eastAsia" w:ascii="仿宋_GB2312"/>
          <w:color w:val="000000"/>
          <w:szCs w:val="32"/>
          <w:lang w:val="en-US" w:eastAsia="zh-CN"/>
        </w:rPr>
        <w:t>0</w:t>
      </w:r>
      <w:r>
        <w:rPr>
          <w:rFonts w:hint="eastAsia" w:ascii="仿宋_GB2312"/>
          <w:color w:val="000000"/>
          <w:szCs w:val="32"/>
        </w:rPr>
        <w:t>辆、机要通信用车0辆，单价</w:t>
      </w:r>
      <w:r>
        <w:rPr>
          <w:rFonts w:ascii="仿宋_GB2312"/>
          <w:color w:val="000000"/>
          <w:szCs w:val="32"/>
        </w:rPr>
        <w:t>50</w:t>
      </w:r>
      <w:r>
        <w:rPr>
          <w:rFonts w:hint="eastAsia" w:ascii="仿宋_GB2312"/>
          <w:color w:val="000000"/>
          <w:szCs w:val="32"/>
        </w:rPr>
        <w:t>万元以上通用设备0台（套），单价</w:t>
      </w:r>
      <w:r>
        <w:rPr>
          <w:rFonts w:ascii="仿宋_GB2312"/>
          <w:color w:val="000000"/>
          <w:szCs w:val="32"/>
        </w:rPr>
        <w:t>100</w:t>
      </w:r>
      <w:r>
        <w:rPr>
          <w:rFonts w:hint="eastAsia" w:ascii="仿宋_GB2312"/>
          <w:color w:val="000000"/>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根据预算绩效管理要求，本部门（单位）在年初预算编制阶段，组织对</w:t>
      </w:r>
      <w:r>
        <w:rPr>
          <w:rFonts w:hint="eastAsia" w:ascii="仿宋_GB2312" w:hAnsi="仿宋_GB2312" w:cs="仿宋_GB2312"/>
          <w:color w:val="000000"/>
          <w:szCs w:val="32"/>
        </w:rPr>
        <w:t>网格化管理</w:t>
      </w:r>
      <w:r>
        <w:rPr>
          <w:rFonts w:hint="eastAsia" w:ascii="仿宋_GB2312" w:hAnsi="仿宋_GB2312" w:cs="仿宋_GB2312"/>
          <w:szCs w:val="32"/>
        </w:rPr>
        <w:t>项目开展了预算事前绩效评估，对1个项目编制了绩效目标，预算执行过程中，选取1个项目开展绩效监控，年终执行完毕后，对1个项目开展了绩效目标完成情况自评。</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本部门按要求对</w:t>
      </w:r>
      <w:r>
        <w:rPr>
          <w:rFonts w:hint="eastAsia" w:ascii="仿宋_GB2312" w:hAnsi="仿宋_GB2312" w:cs="仿宋_GB2312"/>
          <w:szCs w:val="32"/>
          <w:lang w:eastAsia="zh-CN"/>
        </w:rPr>
        <w:t>2021</w:t>
      </w:r>
      <w:r>
        <w:rPr>
          <w:rFonts w:hint="eastAsia" w:ascii="仿宋_GB2312" w:hAnsi="仿宋_GB2312" w:cs="仿宋_GB2312"/>
          <w:szCs w:val="32"/>
        </w:rPr>
        <w:t>年部门整体支出开展绩效自评，从评价情况来看预算事前绩效评价开展有效，执行严格，达到了预期效果。本部门还自行组织了1个项目支出绩效评价，从评价情况来看预算事前绩效评价开展有效，执行严格，达到了预期效果。</w:t>
      </w:r>
    </w:p>
    <w:p>
      <w:pPr>
        <w:numPr>
          <w:ilvl w:val="0"/>
          <w:numId w:val="4"/>
        </w:numPr>
        <w:spacing w:line="560" w:lineRule="exact"/>
        <w:ind w:firstLine="640" w:firstLineChars="200"/>
      </w:pPr>
      <w:r>
        <w:rPr>
          <w:rFonts w:hint="eastAsia" w:ascii="楷体_GB2312" w:hAnsi="楷体_GB2312" w:eastAsia="楷体_GB2312" w:cs="楷体_GB2312"/>
          <w:szCs w:val="32"/>
        </w:rPr>
        <w:t>项目绩效目标完成情况。</w:t>
      </w:r>
      <w:r>
        <w:rPr>
          <w:rFonts w:hint="eastAsia" w:ascii="楷体_GB2312" w:hAnsi="楷体_GB2312" w:eastAsia="楷体_GB2312" w:cs="楷体_GB2312"/>
          <w:szCs w:val="32"/>
        </w:rPr>
        <w:br w:type="textWrapping"/>
      </w:r>
      <w:r>
        <w:rPr>
          <w:rFonts w:hint="eastAsia" w:ascii="仿宋_GB2312" w:hAnsi="仿宋_GB2312" w:cs="仿宋_GB2312"/>
          <w:szCs w:val="32"/>
        </w:rPr>
        <w:t xml:space="preserve">    本部门在</w:t>
      </w:r>
      <w:r>
        <w:rPr>
          <w:rFonts w:hint="eastAsia" w:ascii="仿宋_GB2312" w:hAnsi="仿宋_GB2312" w:cs="仿宋_GB2312"/>
          <w:szCs w:val="32"/>
          <w:lang w:eastAsia="zh-CN"/>
        </w:rPr>
        <w:t>2021</w:t>
      </w:r>
      <w:r>
        <w:rPr>
          <w:rFonts w:hint="eastAsia" w:ascii="仿宋_GB2312" w:hAnsi="仿宋_GB2312" w:cs="仿宋_GB2312"/>
          <w:szCs w:val="32"/>
        </w:rPr>
        <w:t>年度部门决算中反映“</w:t>
      </w:r>
      <w:r>
        <w:rPr>
          <w:rFonts w:hint="eastAsia" w:ascii="仿宋_GB2312" w:hAnsi="仿宋_GB2312" w:cs="仿宋_GB2312"/>
          <w:color w:val="000000" w:themeColor="text1"/>
          <w:szCs w:val="32"/>
          <w:lang w:eastAsia="zh-CN"/>
          <w14:textFill>
            <w14:solidFill>
              <w14:schemeClr w14:val="tx1"/>
            </w14:solidFill>
          </w14:textFill>
        </w:rPr>
        <w:t>《自贡政法》</w:t>
      </w:r>
      <w:r>
        <w:rPr>
          <w:rFonts w:hint="eastAsia" w:ascii="仿宋_GB2312" w:hAnsi="仿宋_GB2312" w:cs="仿宋_GB2312"/>
          <w:szCs w:val="32"/>
        </w:rPr>
        <w:t>项目”等项目绩效目标实际完成情况。</w:t>
      </w:r>
    </w:p>
    <w:p>
      <w:pPr>
        <w:numPr>
          <w:ilvl w:val="0"/>
          <w:numId w:val="0"/>
        </w:numPr>
        <w:spacing w:line="560" w:lineRule="exact"/>
        <w:ind w:firstLine="640" w:firstLineChars="200"/>
        <w:jc w:val="left"/>
        <w:rPr>
          <w:rFonts w:hint="eastAsia" w:ascii="仿宋_GB2312" w:hAnsi="仿宋"/>
          <w:szCs w:val="32"/>
        </w:rPr>
      </w:pPr>
      <w:r>
        <w:rPr>
          <w:rFonts w:hint="eastAsia" w:ascii="仿宋_GB2312" w:hAnsi="仿宋_GB2312" w:cs="仿宋_GB2312"/>
          <w:color w:val="000000"/>
          <w:szCs w:val="32"/>
          <w:lang w:eastAsia="zh-CN"/>
        </w:rPr>
        <w:t>自贡政法</w:t>
      </w:r>
      <w:r>
        <w:rPr>
          <w:rFonts w:hint="eastAsia" w:ascii="仿宋_GB2312" w:hAnsi="仿宋_GB2312" w:cs="仿宋_GB2312"/>
          <w:color w:val="000000"/>
          <w:szCs w:val="32"/>
        </w:rPr>
        <w:t>工作绩效目标完成情况综述。全年预算数</w:t>
      </w:r>
      <w:r>
        <w:rPr>
          <w:rFonts w:hint="eastAsia" w:ascii="仿宋_GB2312" w:hAnsi="仿宋_GB2312" w:cs="仿宋_GB2312"/>
          <w:color w:val="000000"/>
          <w:szCs w:val="32"/>
          <w:lang w:val="en-US" w:eastAsia="zh-CN"/>
        </w:rPr>
        <w:t>8.1</w:t>
      </w:r>
      <w:r>
        <w:rPr>
          <w:rFonts w:hint="eastAsia" w:ascii="仿宋_GB2312" w:hAnsi="仿宋_GB2312" w:cs="仿宋_GB2312"/>
          <w:color w:val="000000"/>
          <w:szCs w:val="32"/>
        </w:rPr>
        <w:t>万元，执行数为</w:t>
      </w:r>
      <w:r>
        <w:rPr>
          <w:rFonts w:hint="eastAsia" w:ascii="仿宋_GB2312" w:hAnsi="仿宋_GB2312" w:cs="仿宋_GB2312"/>
          <w:color w:val="000000"/>
          <w:szCs w:val="32"/>
          <w:lang w:val="en-US" w:eastAsia="zh-CN"/>
        </w:rPr>
        <w:t>8.1</w:t>
      </w:r>
      <w:r>
        <w:rPr>
          <w:rFonts w:hint="eastAsia" w:ascii="仿宋_GB2312" w:hAnsi="仿宋_GB2312" w:cs="仿宋_GB2312"/>
          <w:color w:val="000000"/>
          <w:szCs w:val="32"/>
        </w:rPr>
        <w:t>万元，完成预算的</w:t>
      </w:r>
      <w:r>
        <w:rPr>
          <w:rFonts w:ascii="仿宋_GB2312" w:hAnsi="仿宋_GB2312" w:cs="仿宋_GB2312"/>
          <w:color w:val="000000"/>
          <w:szCs w:val="32"/>
        </w:rPr>
        <w:t>100%</w:t>
      </w:r>
      <w:r>
        <w:rPr>
          <w:rFonts w:hint="eastAsia" w:ascii="仿宋_GB2312" w:hAnsi="仿宋_GB2312" w:cs="仿宋_GB2312"/>
          <w:color w:val="000000"/>
          <w:szCs w:val="32"/>
        </w:rPr>
        <w:t>。</w:t>
      </w:r>
      <w:r>
        <w:rPr>
          <w:rFonts w:hint="eastAsia" w:ascii="仿宋_GB2312" w:hAnsi="仿宋"/>
          <w:szCs w:val="32"/>
        </w:rPr>
        <w:t>宣传全市政法系统工作，推进普法工作，营造学法守法氛围，年度刊发《自贡政法》4-5期。</w:t>
      </w:r>
    </w:p>
    <w:p>
      <w:pPr>
        <w:rPr>
          <w:rFonts w:ascii="仿宋_GB2312" w:hAnsi="仿宋_GB2312" w:eastAsia="仿宋_GB2312" w:cs="仿宋_GB2312"/>
          <w:sz w:val="32"/>
          <w:szCs w:val="32"/>
        </w:rPr>
      </w:pPr>
    </w:p>
    <w:p>
      <w:pPr>
        <w:pStyle w:val="2"/>
      </w:pPr>
    </w:p>
    <w:p>
      <w:pPr>
        <w:rPr>
          <w:rStyle w:val="16"/>
          <w:rFonts w:ascii="黑体" w:hAnsi="黑体" w:eastAsia="黑体"/>
          <w:b w:val="0"/>
        </w:rPr>
      </w:pPr>
      <w:bookmarkStart w:id="49" w:name="_Toc21676"/>
      <w:bookmarkStart w:id="50" w:name="_Toc15377225"/>
      <w:bookmarkStart w:id="51" w:name="_Toc15396613"/>
      <w:r>
        <w:rPr>
          <w:rFonts w:hint="eastAsia" w:ascii="黑体" w:hAnsi="黑体" w:eastAsia="黑体"/>
          <w:color w:val="000000"/>
          <w:sz w:val="44"/>
          <w:szCs w:val="44"/>
        </w:rPr>
        <w:br w:type="page"/>
      </w:r>
    </w:p>
    <w:p>
      <w:pPr>
        <w:numPr>
          <w:ilvl w:val="0"/>
          <w:numId w:val="5"/>
        </w:numPr>
        <w:spacing w:line="600" w:lineRule="exact"/>
        <w:ind w:firstLine="660" w:firstLineChars="150"/>
        <w:jc w:val="center"/>
        <w:outlineLvl w:val="0"/>
        <w:rPr>
          <w:rStyle w:val="16"/>
          <w:rFonts w:ascii="黑体" w:hAnsi="黑体" w:eastAsia="黑体"/>
          <w:b w:val="0"/>
        </w:rPr>
      </w:pPr>
      <w:r>
        <w:rPr>
          <w:rFonts w:hint="eastAsia" w:ascii="黑体" w:hAnsi="黑体" w:eastAsia="黑体"/>
          <w:color w:val="000000"/>
          <w:sz w:val="44"/>
          <w:szCs w:val="44"/>
        </w:rPr>
        <w:t>名</w:t>
      </w:r>
      <w:r>
        <w:rPr>
          <w:rStyle w:val="16"/>
          <w:rFonts w:hint="eastAsia" w:ascii="黑体" w:hAnsi="黑体" w:eastAsia="黑体"/>
          <w:b w:val="0"/>
        </w:rPr>
        <w:t>词解释</w:t>
      </w:r>
      <w:bookmarkEnd w:id="49"/>
      <w:bookmarkEnd w:id="50"/>
      <w:bookmarkEnd w:id="51"/>
    </w:p>
    <w:p>
      <w:pPr>
        <w:spacing w:line="600" w:lineRule="exact"/>
        <w:jc w:val="left"/>
        <w:rPr>
          <w:rFonts w:ascii="宋体"/>
          <w:b/>
          <w:color w:val="000000"/>
          <w:sz w:val="44"/>
          <w:szCs w:val="44"/>
        </w:rPr>
      </w:pPr>
    </w:p>
    <w:p>
      <w:pPr>
        <w:pStyle w:val="19"/>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19"/>
        <w:spacing w:line="560" w:lineRule="exact"/>
        <w:ind w:firstLine="640" w:firstLineChars="200"/>
        <w:rPr>
          <w:rFonts w:ascii="仿宋_GB2312" w:eastAsia="仿宋_GB2312" w:cs="黑体"/>
          <w:sz w:val="32"/>
          <w:szCs w:val="32"/>
        </w:rPr>
      </w:pPr>
    </w:p>
    <w:p>
      <w:pPr>
        <w:spacing w:line="600" w:lineRule="exact"/>
        <w:jc w:val="center"/>
        <w:outlineLvl w:val="0"/>
        <w:rPr>
          <w:rStyle w:val="16"/>
          <w:rFonts w:ascii="黑体" w:hAnsi="黑体" w:eastAsia="黑体"/>
          <w:b w:val="0"/>
        </w:rPr>
      </w:pPr>
      <w:bookmarkStart w:id="52" w:name="_Toc15377226"/>
      <w:r>
        <w:rPr>
          <w:rFonts w:ascii="宋体"/>
          <w:b/>
          <w:color w:val="000000"/>
          <w:sz w:val="44"/>
          <w:szCs w:val="44"/>
        </w:rPr>
        <w:br w:type="page"/>
      </w:r>
      <w:bookmarkStart w:id="53" w:name="_Toc15396614"/>
      <w:bookmarkStart w:id="54" w:name="_Toc6879"/>
      <w:r>
        <w:rPr>
          <w:rFonts w:hint="eastAsia" w:ascii="黑体" w:hAnsi="黑体" w:eastAsia="黑体"/>
          <w:color w:val="000000"/>
          <w:sz w:val="44"/>
          <w:szCs w:val="44"/>
        </w:rPr>
        <w:t>第</w:t>
      </w:r>
      <w:r>
        <w:rPr>
          <w:rStyle w:val="16"/>
          <w:rFonts w:hint="eastAsia" w:ascii="黑体" w:hAnsi="黑体" w:eastAsia="黑体"/>
          <w:b w:val="0"/>
        </w:rPr>
        <w:t>四部分</w:t>
      </w:r>
      <w:r>
        <w:rPr>
          <w:rStyle w:val="16"/>
          <w:rFonts w:ascii="黑体" w:hAnsi="黑体" w:eastAsia="黑体"/>
          <w:b w:val="0"/>
        </w:rPr>
        <w:t xml:space="preserve"> </w:t>
      </w:r>
      <w:r>
        <w:rPr>
          <w:rStyle w:val="16"/>
          <w:rFonts w:hint="eastAsia" w:ascii="黑体" w:hAnsi="黑体" w:eastAsia="黑体"/>
          <w:b w:val="0"/>
        </w:rPr>
        <w:t>附件</w:t>
      </w:r>
      <w:bookmarkEnd w:id="53"/>
      <w:bookmarkEnd w:id="54"/>
    </w:p>
    <w:p>
      <w:pPr>
        <w:spacing w:line="600" w:lineRule="exact"/>
        <w:jc w:val="left"/>
        <w:outlineLvl w:val="1"/>
        <w:rPr>
          <w:rFonts w:hint="eastAsia" w:ascii="黑体" w:hAnsi="黑体" w:eastAsia="黑体" w:cs="黑体"/>
          <w:sz w:val="32"/>
          <w:szCs w:val="32"/>
        </w:rPr>
      </w:pPr>
      <w:bookmarkStart w:id="55" w:name="_Toc18966"/>
      <w:r>
        <w:rPr>
          <w:rFonts w:hint="eastAsia" w:ascii="黑体" w:hAnsi="黑体" w:eastAsia="黑体" w:cs="黑体"/>
          <w:sz w:val="32"/>
          <w:szCs w:val="32"/>
        </w:rPr>
        <w:t>附件</w:t>
      </w:r>
      <w:bookmarkEnd w:id="55"/>
    </w:p>
    <w:p>
      <w:pPr>
        <w:numPr>
          <w:ilvl w:val="0"/>
          <w:numId w:val="0"/>
        </w:numPr>
        <w:spacing w:line="560" w:lineRule="exact"/>
        <w:ind w:firstLine="640" w:firstLineChars="200"/>
        <w:jc w:val="left"/>
        <w:rPr>
          <w:rFonts w:hint="eastAsia" w:ascii="仿宋_GB2312" w:hAnsi="仿宋"/>
          <w:szCs w:val="32"/>
        </w:rPr>
      </w:pPr>
    </w:p>
    <w:tbl>
      <w:tblPr>
        <w:tblStyle w:val="12"/>
        <w:tblW w:w="9080" w:type="dxa"/>
        <w:jc w:val="center"/>
        <w:tblLayout w:type="fixed"/>
        <w:tblCellMar>
          <w:top w:w="0" w:type="dxa"/>
          <w:left w:w="108" w:type="dxa"/>
          <w:bottom w:w="0" w:type="dxa"/>
          <w:right w:w="108" w:type="dxa"/>
        </w:tblCellMar>
      </w:tblPr>
      <w:tblGrid>
        <w:gridCol w:w="588"/>
        <w:gridCol w:w="979"/>
        <w:gridCol w:w="1111"/>
        <w:gridCol w:w="729"/>
        <w:gridCol w:w="1133"/>
        <w:gridCol w:w="283"/>
        <w:gridCol w:w="1196"/>
        <w:gridCol w:w="795"/>
        <w:gridCol w:w="371"/>
        <w:gridCol w:w="338"/>
        <w:gridCol w:w="184"/>
        <w:gridCol w:w="537"/>
        <w:gridCol w:w="129"/>
        <w:gridCol w:w="707"/>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Cs w:val="30"/>
              </w:rPr>
            </w:pPr>
            <w:r>
              <w:rPr>
                <w:rFonts w:hint="eastAsia" w:eastAsia="方正小标宋简体"/>
                <w:bCs/>
                <w:color w:val="000000"/>
                <w:kern w:val="0"/>
                <w:sz w:val="30"/>
                <w:szCs w:val="30"/>
              </w:rPr>
              <w:t>市级项目支出绩效自评表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rPr>
            </w:pPr>
            <w:r>
              <w:rPr>
                <w:rFonts w:hint="eastAsia" w:ascii="宋体" w:hAnsi="宋体" w:eastAsia="宋体" w:cs="宋体"/>
                <w:kern w:val="0"/>
                <w:sz w:val="22"/>
              </w:rPr>
              <w:t>（</w:t>
            </w:r>
            <w:r>
              <w:rPr>
                <w:rFonts w:ascii="宋体" w:hAnsi="宋体" w:eastAsia="宋体" w:cs="宋体"/>
                <w:kern w:val="0"/>
                <w:sz w:val="22"/>
              </w:rPr>
              <w:t>202</w:t>
            </w:r>
            <w:r>
              <w:rPr>
                <w:rFonts w:hint="eastAsia" w:ascii="宋体" w:hAnsi="宋体" w:eastAsia="宋体" w:cs="宋体"/>
                <w:kern w:val="0"/>
                <w:sz w:val="22"/>
                <w:lang w:val="en-US" w:eastAsia="zh-CN"/>
              </w:rPr>
              <w:t>1</w:t>
            </w:r>
            <w:r>
              <w:rPr>
                <w:rFonts w:hint="eastAsia" w:ascii="宋体" w:hAnsi="宋体" w:eastAsia="宋体" w:cs="宋体"/>
                <w:kern w:val="0"/>
                <w:sz w:val="22"/>
              </w:rPr>
              <w:t>年度）</w:t>
            </w:r>
          </w:p>
        </w:tc>
      </w:tr>
      <w:tr>
        <w:tblPrEx>
          <w:tblCellMar>
            <w:top w:w="0" w:type="dxa"/>
            <w:left w:w="108" w:type="dxa"/>
            <w:bottom w:w="0" w:type="dxa"/>
            <w:right w:w="108" w:type="dxa"/>
          </w:tblCellMar>
        </w:tblPrEx>
        <w:trPr>
          <w:trHeight w:val="300"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3"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color w:val="000000"/>
                <w:kern w:val="0"/>
                <w:sz w:val="20"/>
              </w:rPr>
              <w:t>自贡政法</w:t>
            </w:r>
          </w:p>
        </w:tc>
      </w:tr>
      <w:tr>
        <w:tblPrEx>
          <w:tblCellMar>
            <w:top w:w="0" w:type="dxa"/>
            <w:left w:w="108" w:type="dxa"/>
            <w:bottom w:w="0" w:type="dxa"/>
            <w:right w:w="108" w:type="dxa"/>
          </w:tblCellMar>
        </w:tblPrEx>
        <w:trPr>
          <w:trHeight w:val="467"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45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自贡市法学会</w:t>
            </w:r>
          </w:p>
        </w:tc>
      </w:tr>
      <w:tr>
        <w:tblPrEx>
          <w:tblCellMar>
            <w:top w:w="0" w:type="dxa"/>
            <w:left w:w="108" w:type="dxa"/>
            <w:bottom w:w="0" w:type="dxa"/>
            <w:right w:w="108" w:type="dxa"/>
          </w:tblCellMar>
        </w:tblPrEx>
        <w:trPr>
          <w:trHeight w:val="591" w:hRule="exact"/>
          <w:jc w:val="center"/>
        </w:trPr>
        <w:tc>
          <w:tcPr>
            <w:tcW w:w="15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当前</w:t>
            </w:r>
            <w:r>
              <w:rPr>
                <w:rFonts w:hint="eastAsia" w:ascii="宋体" w:hAnsi="宋体" w:eastAsia="宋体" w:cs="宋体"/>
                <w:kern w:val="0"/>
                <w:sz w:val="18"/>
                <w:szCs w:val="18"/>
              </w:rPr>
              <w:t>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tabs>
                <w:tab w:val="left" w:pos="284"/>
              </w:tabs>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rPr>
              <w:tab/>
            </w:r>
            <w:r>
              <w:rPr>
                <w:rFonts w:hint="eastAsia" w:ascii="宋体" w:hAnsi="宋体" w:eastAsia="宋体" w:cs="宋体"/>
                <w:color w:val="000000"/>
                <w:kern w:val="0"/>
                <w:sz w:val="20"/>
              </w:rPr>
              <w:t>8</w:t>
            </w:r>
            <w:r>
              <w:rPr>
                <w:rFonts w:hint="eastAsia" w:ascii="宋体" w:hAnsi="宋体" w:eastAsia="宋体" w:cs="宋体"/>
                <w:color w:val="000000"/>
                <w:kern w:val="0"/>
                <w:sz w:val="20"/>
                <w:lang w:val="en-US" w:eastAsia="zh-CN"/>
              </w:rPr>
              <w:t>.1</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color w:val="000000"/>
                <w:kern w:val="0"/>
                <w:sz w:val="20"/>
                <w:lang w:val="en-US" w:eastAsia="zh-CN"/>
              </w:rPr>
              <w:t>8.1</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color w:val="000000"/>
                <w:kern w:val="0"/>
                <w:sz w:val="20"/>
                <w:lang w:val="en-US" w:eastAsia="zh-CN"/>
              </w:rPr>
              <w:t>8.1</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tabs>
                <w:tab w:val="left" w:pos="409"/>
              </w:tabs>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color w:val="000000"/>
                <w:kern w:val="0"/>
                <w:sz w:val="20"/>
                <w:lang w:val="en-US" w:eastAsia="zh-CN"/>
              </w:rPr>
              <w:t>8.1</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8.1</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8.1</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48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组织完成《自贡政法》刊物编制工作</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组织完成《自贡政法》刊物编制工作</w:t>
            </w:r>
          </w:p>
        </w:tc>
      </w:tr>
      <w:tr>
        <w:tblPrEx>
          <w:tblCellMar>
            <w:top w:w="0" w:type="dxa"/>
            <w:left w:w="108" w:type="dxa"/>
            <w:bottom w:w="0" w:type="dxa"/>
            <w:right w:w="108" w:type="dxa"/>
          </w:tblCellMar>
        </w:tblPrEx>
        <w:trPr>
          <w:trHeight w:val="545"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1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1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84"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完成指标（分值共5</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开展宣传活动</w:t>
            </w:r>
          </w:p>
        </w:tc>
        <w:tc>
          <w:tcPr>
            <w:tcW w:w="1196" w:type="dxa"/>
            <w:vMerge w:val="restart"/>
            <w:tcBorders>
              <w:top w:val="nil"/>
              <w:left w:val="nil"/>
              <w:right w:val="single" w:color="auto" w:sz="4" w:space="0"/>
            </w:tcBorders>
            <w:noWrap w:val="0"/>
            <w:vAlign w:val="center"/>
          </w:tcPr>
          <w:p>
            <w:pPr>
              <w:widowControl/>
              <w:spacing w:line="200" w:lineRule="exact"/>
              <w:jc w:val="center"/>
              <w:rPr>
                <w:rFonts w:ascii="宋体" w:hAnsi="宋体" w:eastAsia="宋体" w:cs="宋体"/>
                <w:color w:val="000000"/>
                <w:kern w:val="0"/>
                <w:sz w:val="16"/>
              </w:rPr>
            </w:pPr>
            <w:r>
              <w:rPr>
                <w:rFonts w:hint="eastAsia" w:ascii="宋体" w:hAnsi="宋体" w:eastAsia="宋体" w:cs="宋体"/>
                <w:color w:val="000000"/>
                <w:kern w:val="0"/>
                <w:sz w:val="16"/>
              </w:rPr>
              <w:t>35次</w:t>
            </w:r>
          </w:p>
        </w:tc>
        <w:tc>
          <w:tcPr>
            <w:tcW w:w="1166" w:type="dxa"/>
            <w:gridSpan w:val="2"/>
            <w:vMerge w:val="restart"/>
            <w:tcBorders>
              <w:top w:val="nil"/>
              <w:left w:val="nil"/>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　30次</w:t>
            </w:r>
          </w:p>
        </w:tc>
        <w:tc>
          <w:tcPr>
            <w:tcW w:w="522" w:type="dxa"/>
            <w:gridSpan w:val="2"/>
            <w:vMerge w:val="restart"/>
            <w:tcBorders>
              <w:top w:val="nil"/>
              <w:left w:val="nil"/>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w:t>
            </w:r>
          </w:p>
        </w:tc>
        <w:tc>
          <w:tcPr>
            <w:tcW w:w="537" w:type="dxa"/>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3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项目完成率</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100%　</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完成100%　</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0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rPr>
                <w:rFonts w:hint="eastAsia" w:ascii="宋体" w:hAnsi="宋体" w:eastAsia="宋体" w:cs="宋体"/>
                <w:kern w:val="0"/>
                <w:sz w:val="16"/>
              </w:rPr>
            </w:pPr>
            <w:r>
              <w:rPr>
                <w:rFonts w:hint="eastAsia" w:ascii="宋体" w:hAnsi="宋体" w:eastAsia="宋体" w:cs="宋体"/>
                <w:kern w:val="0"/>
                <w:sz w:val="16"/>
              </w:rPr>
              <w:t>使用年限</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长期</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rPr>
                <w:rFonts w:hint="eastAsia" w:ascii="宋体" w:hAnsi="宋体" w:eastAsia="宋体" w:cs="宋体"/>
                <w:kern w:val="0"/>
                <w:sz w:val="16"/>
              </w:rPr>
            </w:pPr>
            <w:r>
              <w:rPr>
                <w:rFonts w:hint="eastAsia" w:ascii="宋体" w:hAnsi="宋体" w:eastAsia="宋体" w:cs="宋体"/>
                <w:kern w:val="0"/>
                <w:sz w:val="16"/>
              </w:rPr>
              <w:t>已经刊发2期</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8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eastAsia="宋体"/>
                <w:color w:val="000000"/>
                <w:kern w:val="0"/>
                <w:sz w:val="18"/>
                <w:szCs w:val="18"/>
              </w:rPr>
              <w:t>节约</w:t>
            </w:r>
            <w:r>
              <w:rPr>
                <w:rFonts w:hint="eastAsia" w:eastAsia="宋体"/>
                <w:color w:val="000000"/>
                <w:kern w:val="0"/>
                <w:sz w:val="18"/>
                <w:szCs w:val="18"/>
              </w:rPr>
              <w:t>成本</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9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效益指标（分值共3</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维护社会定，确保经济发展。</w:t>
            </w: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年内完成</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完成</w:t>
            </w: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22"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7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指标（分值共1</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5" w:type="dxa"/>
            <w:gridSpan w:val="3"/>
            <w:tcBorders>
              <w:top w:val="single" w:color="auto" w:sz="4" w:space="0"/>
              <w:left w:val="nil"/>
              <w:right w:val="single" w:color="auto" w:sz="4" w:space="0"/>
            </w:tcBorders>
            <w:noWrap w:val="0"/>
            <w:vAlign w:val="center"/>
          </w:tcPr>
          <w:p>
            <w:pPr>
              <w:widowControl/>
              <w:spacing w:line="200" w:lineRule="exact"/>
              <w:jc w:val="left"/>
              <w:rPr>
                <w:rFonts w:hint="eastAsia" w:ascii="宋体" w:hAnsi="宋体" w:eastAsia="宋体" w:cs="宋体"/>
                <w:color w:val="000000"/>
                <w:kern w:val="0"/>
                <w:sz w:val="16"/>
              </w:rPr>
            </w:pPr>
            <w:r>
              <w:rPr>
                <w:rFonts w:hint="eastAsia" w:ascii="宋体" w:hAnsi="宋体" w:eastAsia="宋体" w:cs="宋体"/>
                <w:kern w:val="0"/>
                <w:sz w:val="16"/>
              </w:rPr>
              <w:t>群众满意度</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100%　</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达到100%　</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7185"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p>
        </w:tc>
      </w:tr>
    </w:tbl>
    <w:p>
      <w:pPr>
        <w:pStyle w:val="5"/>
        <w:numPr>
          <w:ilvl w:val="0"/>
          <w:numId w:val="0"/>
        </w:numPr>
        <w:rPr>
          <w:rFonts w:hint="eastAsia"/>
        </w:rPr>
      </w:pPr>
      <w:r>
        <w:rPr>
          <w:rFonts w:hint="eastAsia" w:ascii="宋体" w:hAnsi="宋体" w:eastAsia="宋体" w:cs="宋体"/>
          <w:kern w:val="0"/>
          <w:sz w:val="18"/>
          <w:szCs w:val="18"/>
        </w:rPr>
        <w:t>备注：预算执行分值为1</w:t>
      </w:r>
      <w:r>
        <w:rPr>
          <w:rFonts w:ascii="宋体" w:hAnsi="宋体" w:eastAsia="宋体" w:cs="宋体"/>
          <w:kern w:val="0"/>
          <w:sz w:val="18"/>
          <w:szCs w:val="18"/>
        </w:rPr>
        <w:t>0</w:t>
      </w:r>
      <w:r>
        <w:rPr>
          <w:rFonts w:hint="eastAsia" w:ascii="宋体" w:hAnsi="宋体" w:eastAsia="宋体" w:cs="宋体"/>
          <w:kern w:val="0"/>
          <w:sz w:val="18"/>
          <w:szCs w:val="18"/>
        </w:rPr>
        <w:t>分、产出指标分值为5</w:t>
      </w:r>
      <w:r>
        <w:rPr>
          <w:rFonts w:ascii="宋体" w:hAnsi="宋体" w:eastAsia="宋体" w:cs="宋体"/>
          <w:kern w:val="0"/>
          <w:sz w:val="18"/>
          <w:szCs w:val="18"/>
        </w:rPr>
        <w:t>0</w:t>
      </w:r>
      <w:r>
        <w:rPr>
          <w:rFonts w:hint="eastAsia" w:ascii="宋体" w:hAnsi="宋体" w:eastAsia="宋体" w:cs="宋体"/>
          <w:kern w:val="0"/>
          <w:sz w:val="18"/>
          <w:szCs w:val="18"/>
        </w:rPr>
        <w:t>分、效益指标分值为3</w:t>
      </w:r>
      <w:r>
        <w:rPr>
          <w:rFonts w:ascii="宋体" w:hAnsi="宋体" w:eastAsia="宋体" w:cs="宋体"/>
          <w:kern w:val="0"/>
          <w:sz w:val="18"/>
          <w:szCs w:val="18"/>
        </w:rPr>
        <w:t>0</w:t>
      </w:r>
      <w:r>
        <w:rPr>
          <w:rFonts w:hint="eastAsia" w:ascii="宋体" w:hAnsi="宋体" w:eastAsia="宋体" w:cs="宋体"/>
          <w:kern w:val="0"/>
          <w:sz w:val="18"/>
          <w:szCs w:val="18"/>
        </w:rPr>
        <w:t>分、满意度指标分值为1</w:t>
      </w:r>
      <w:r>
        <w:rPr>
          <w:rFonts w:ascii="宋体" w:hAnsi="宋体" w:eastAsia="宋体" w:cs="宋体"/>
          <w:kern w:val="0"/>
          <w:sz w:val="18"/>
          <w:szCs w:val="18"/>
        </w:rPr>
        <w:t>0</w:t>
      </w:r>
      <w:r>
        <w:rPr>
          <w:rFonts w:hint="eastAsia" w:ascii="宋体" w:hAnsi="宋体" w:eastAsia="宋体" w:cs="宋体"/>
          <w:kern w:val="0"/>
          <w:sz w:val="18"/>
          <w:szCs w:val="18"/>
        </w:rPr>
        <w:t>分</w:t>
      </w:r>
    </w:p>
    <w:p>
      <w:pPr>
        <w:spacing w:line="600" w:lineRule="exact"/>
        <w:jc w:val="center"/>
        <w:outlineLvl w:val="0"/>
        <w:rPr>
          <w:rFonts w:hint="eastAsia" w:ascii="黑体" w:hAnsi="黑体" w:eastAsia="黑体"/>
          <w:color w:val="000000"/>
          <w:sz w:val="44"/>
          <w:szCs w:val="44"/>
        </w:rPr>
      </w:pPr>
      <w:bookmarkStart w:id="56" w:name="_Toc18418"/>
      <w:bookmarkStart w:id="57" w:name="_Toc15396618"/>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16"/>
          <w:rFonts w:ascii="黑体" w:hAnsi="黑体" w:eastAsia="黑体"/>
          <w:b w:val="0"/>
        </w:rPr>
      </w:pPr>
      <w:r>
        <w:rPr>
          <w:rFonts w:hint="eastAsia" w:ascii="黑体" w:hAnsi="黑体" w:eastAsia="黑体"/>
          <w:color w:val="000000"/>
          <w:sz w:val="44"/>
          <w:szCs w:val="44"/>
        </w:rPr>
        <w:t>第</w:t>
      </w:r>
      <w:r>
        <w:rPr>
          <w:rStyle w:val="16"/>
          <w:rFonts w:hint="eastAsia" w:ascii="黑体" w:hAnsi="黑体" w:eastAsia="黑体"/>
          <w:b w:val="0"/>
        </w:rPr>
        <w:t>五部分</w:t>
      </w:r>
      <w:r>
        <w:rPr>
          <w:rStyle w:val="16"/>
          <w:rFonts w:ascii="黑体" w:hAnsi="黑体" w:eastAsia="黑体"/>
          <w:b w:val="0"/>
        </w:rPr>
        <w:t xml:space="preserve"> </w:t>
      </w:r>
      <w:r>
        <w:rPr>
          <w:rStyle w:val="16"/>
          <w:rFonts w:hint="eastAsia" w:ascii="黑体" w:hAnsi="黑体" w:eastAsia="黑体"/>
          <w:b w:val="0"/>
        </w:rPr>
        <w:t>附表</w:t>
      </w:r>
      <w:bookmarkEnd w:id="52"/>
      <w:bookmarkEnd w:id="56"/>
      <w:bookmarkEnd w:id="57"/>
    </w:p>
    <w:p>
      <w:pPr>
        <w:spacing w:line="600" w:lineRule="exact"/>
        <w:jc w:val="center"/>
        <w:outlineLvl w:val="0"/>
        <w:rPr>
          <w:rFonts w:ascii="仿宋" w:hAnsi="仿宋" w:eastAsia="仿宋"/>
          <w:b/>
          <w:color w:val="000000"/>
          <w:sz w:val="44"/>
          <w:szCs w:val="44"/>
        </w:rPr>
      </w:pPr>
    </w:p>
    <w:p>
      <w:pPr>
        <w:pStyle w:val="4"/>
        <w:rPr>
          <w:rFonts w:ascii="仿宋" w:hAnsi="仿宋" w:eastAsia="仿宋"/>
          <w:color w:val="000000"/>
        </w:rPr>
      </w:pPr>
      <w:bookmarkStart w:id="58" w:name="_Toc15396619"/>
      <w:bookmarkStart w:id="59" w:name="_Toc14600"/>
      <w:r>
        <w:rPr>
          <w:rFonts w:hint="eastAsia" w:ascii="仿宋" w:hAnsi="仿宋" w:eastAsia="仿宋"/>
          <w:b w:val="0"/>
          <w:color w:val="000000"/>
        </w:rPr>
        <w:t>一、收</w:t>
      </w:r>
      <w:r>
        <w:rPr>
          <w:rStyle w:val="17"/>
          <w:rFonts w:hint="eastAsia" w:ascii="仿宋" w:hAnsi="仿宋" w:eastAsia="仿宋"/>
          <w:b w:val="0"/>
          <w:bCs w:val="0"/>
        </w:rPr>
        <w:t>入支出决算总表</w:t>
      </w:r>
      <w:bookmarkEnd w:id="58"/>
      <w:bookmarkEnd w:id="59"/>
    </w:p>
    <w:p>
      <w:pPr>
        <w:pStyle w:val="4"/>
        <w:rPr>
          <w:rFonts w:ascii="仿宋" w:hAnsi="仿宋" w:eastAsia="仿宋"/>
          <w:color w:val="000000"/>
        </w:rPr>
      </w:pPr>
      <w:bookmarkStart w:id="60" w:name="_Toc15925"/>
      <w:bookmarkStart w:id="61" w:name="_Toc15396620"/>
      <w:r>
        <w:rPr>
          <w:rFonts w:hint="eastAsia" w:ascii="仿宋" w:hAnsi="仿宋" w:eastAsia="仿宋"/>
          <w:b w:val="0"/>
          <w:color w:val="000000"/>
        </w:rPr>
        <w:t>二、收</w:t>
      </w:r>
      <w:r>
        <w:rPr>
          <w:rStyle w:val="17"/>
          <w:rFonts w:hint="eastAsia" w:ascii="仿宋" w:hAnsi="仿宋" w:eastAsia="仿宋"/>
          <w:b w:val="0"/>
          <w:bCs w:val="0"/>
        </w:rPr>
        <w:t>入决算表</w:t>
      </w:r>
      <w:bookmarkEnd w:id="60"/>
      <w:bookmarkEnd w:id="61"/>
    </w:p>
    <w:p>
      <w:pPr>
        <w:pStyle w:val="4"/>
        <w:rPr>
          <w:rFonts w:ascii="仿宋" w:hAnsi="仿宋" w:eastAsia="仿宋"/>
          <w:color w:val="000000"/>
        </w:rPr>
      </w:pPr>
      <w:bookmarkStart w:id="62" w:name="_Toc7187"/>
      <w:bookmarkStart w:id="63" w:name="_Toc15396621"/>
      <w:r>
        <w:rPr>
          <w:rStyle w:val="17"/>
          <w:rFonts w:hint="eastAsia" w:ascii="仿宋" w:hAnsi="仿宋" w:eastAsia="仿宋"/>
          <w:b w:val="0"/>
          <w:bCs w:val="0"/>
        </w:rPr>
        <w:t>三、</w:t>
      </w:r>
      <w:r>
        <w:rPr>
          <w:rFonts w:hint="eastAsia" w:ascii="仿宋" w:hAnsi="仿宋" w:eastAsia="仿宋"/>
          <w:b w:val="0"/>
          <w:color w:val="000000"/>
        </w:rPr>
        <w:t>支</w:t>
      </w:r>
      <w:r>
        <w:rPr>
          <w:rStyle w:val="17"/>
          <w:rFonts w:hint="eastAsia" w:ascii="仿宋" w:hAnsi="仿宋" w:eastAsia="仿宋"/>
          <w:b w:val="0"/>
          <w:bCs w:val="0"/>
        </w:rPr>
        <w:t>出决算表</w:t>
      </w:r>
      <w:bookmarkEnd w:id="62"/>
      <w:bookmarkEnd w:id="63"/>
    </w:p>
    <w:p>
      <w:pPr>
        <w:pStyle w:val="4"/>
        <w:rPr>
          <w:rFonts w:ascii="仿宋" w:hAnsi="仿宋" w:eastAsia="仿宋"/>
          <w:b w:val="0"/>
          <w:color w:val="000000"/>
        </w:rPr>
      </w:pPr>
      <w:bookmarkStart w:id="64" w:name="_Toc15396622"/>
      <w:bookmarkStart w:id="65" w:name="_Toc5686"/>
      <w:r>
        <w:rPr>
          <w:rStyle w:val="17"/>
          <w:rFonts w:hint="eastAsia" w:ascii="仿宋" w:hAnsi="仿宋" w:eastAsia="仿宋"/>
          <w:b w:val="0"/>
          <w:bCs w:val="0"/>
        </w:rPr>
        <w:t>四、</w:t>
      </w:r>
      <w:r>
        <w:rPr>
          <w:rFonts w:hint="eastAsia" w:ascii="仿宋" w:hAnsi="仿宋" w:eastAsia="仿宋"/>
          <w:b w:val="0"/>
          <w:color w:val="000000"/>
        </w:rPr>
        <w:t>财</w:t>
      </w:r>
      <w:r>
        <w:rPr>
          <w:rStyle w:val="17"/>
          <w:rFonts w:hint="eastAsia" w:ascii="仿宋" w:hAnsi="仿宋" w:eastAsia="仿宋"/>
          <w:b w:val="0"/>
          <w:bCs w:val="0"/>
        </w:rPr>
        <w:t>政拨款收入支出决算总表</w:t>
      </w:r>
      <w:bookmarkEnd w:id="64"/>
      <w:bookmarkEnd w:id="65"/>
    </w:p>
    <w:p>
      <w:pPr>
        <w:pStyle w:val="4"/>
        <w:rPr>
          <w:rStyle w:val="17"/>
          <w:rFonts w:ascii="仿宋" w:hAnsi="仿宋" w:eastAsia="仿宋"/>
          <w:b w:val="0"/>
          <w:bCs w:val="0"/>
        </w:rPr>
      </w:pPr>
      <w:bookmarkStart w:id="66" w:name="_Toc6343"/>
      <w:bookmarkStart w:id="67" w:name="_Toc15396623"/>
      <w:r>
        <w:rPr>
          <w:rStyle w:val="17"/>
          <w:rFonts w:hint="eastAsia" w:ascii="仿宋" w:hAnsi="仿宋" w:eastAsia="仿宋"/>
          <w:b w:val="0"/>
          <w:bCs w:val="0"/>
        </w:rPr>
        <w:t>五、</w:t>
      </w:r>
      <w:r>
        <w:rPr>
          <w:rFonts w:hint="eastAsia" w:ascii="仿宋" w:hAnsi="仿宋" w:eastAsia="仿宋"/>
          <w:b w:val="0"/>
          <w:color w:val="000000"/>
        </w:rPr>
        <w:t>财</w:t>
      </w:r>
      <w:r>
        <w:rPr>
          <w:rStyle w:val="17"/>
          <w:rFonts w:hint="eastAsia" w:ascii="仿宋" w:hAnsi="仿宋" w:eastAsia="仿宋"/>
          <w:b w:val="0"/>
          <w:bCs w:val="0"/>
        </w:rPr>
        <w:t>政拨款支出决算明细表</w:t>
      </w:r>
      <w:bookmarkEnd w:id="66"/>
      <w:bookmarkEnd w:id="67"/>
      <w:bookmarkStart w:id="68" w:name="_Toc15396624"/>
    </w:p>
    <w:p>
      <w:pPr>
        <w:pStyle w:val="4"/>
        <w:rPr>
          <w:rFonts w:ascii="仿宋" w:hAnsi="仿宋" w:eastAsia="仿宋"/>
          <w:color w:val="000000"/>
        </w:rPr>
      </w:pPr>
      <w:bookmarkStart w:id="69" w:name="_Toc31131"/>
      <w:r>
        <w:rPr>
          <w:rStyle w:val="17"/>
          <w:rFonts w:hint="eastAsia" w:ascii="仿宋" w:hAnsi="仿宋" w:eastAsia="仿宋"/>
          <w:b w:val="0"/>
          <w:bCs w:val="0"/>
        </w:rPr>
        <w:t>六、</w:t>
      </w:r>
      <w:r>
        <w:rPr>
          <w:rFonts w:hint="eastAsia" w:ascii="仿宋" w:hAnsi="仿宋" w:eastAsia="仿宋"/>
          <w:b w:val="0"/>
          <w:color w:val="000000"/>
        </w:rPr>
        <w:t>一</w:t>
      </w:r>
      <w:r>
        <w:rPr>
          <w:rStyle w:val="17"/>
          <w:rFonts w:hint="eastAsia" w:ascii="仿宋" w:hAnsi="仿宋" w:eastAsia="仿宋"/>
          <w:b w:val="0"/>
          <w:bCs w:val="0"/>
        </w:rPr>
        <w:t>般公共预算财政拨款支出决算表</w:t>
      </w:r>
      <w:bookmarkEnd w:id="68"/>
      <w:bookmarkEnd w:id="69"/>
    </w:p>
    <w:p>
      <w:pPr>
        <w:pStyle w:val="4"/>
        <w:rPr>
          <w:rFonts w:ascii="仿宋" w:hAnsi="仿宋" w:eastAsia="仿宋"/>
          <w:color w:val="000000"/>
        </w:rPr>
      </w:pPr>
      <w:bookmarkStart w:id="70" w:name="_Toc15396625"/>
      <w:bookmarkStart w:id="71" w:name="_Toc11064"/>
      <w:r>
        <w:rPr>
          <w:rStyle w:val="17"/>
          <w:rFonts w:hint="eastAsia" w:ascii="仿宋" w:hAnsi="仿宋" w:eastAsia="仿宋"/>
          <w:b w:val="0"/>
          <w:bCs w:val="0"/>
        </w:rPr>
        <w:t>七、</w:t>
      </w:r>
      <w:r>
        <w:rPr>
          <w:rFonts w:hint="eastAsia" w:ascii="仿宋" w:hAnsi="仿宋" w:eastAsia="仿宋"/>
          <w:b w:val="0"/>
          <w:color w:val="000000"/>
        </w:rPr>
        <w:t>一</w:t>
      </w:r>
      <w:r>
        <w:rPr>
          <w:rStyle w:val="17"/>
          <w:rFonts w:hint="eastAsia" w:ascii="仿宋" w:hAnsi="仿宋" w:eastAsia="仿宋"/>
          <w:b w:val="0"/>
          <w:bCs w:val="0"/>
        </w:rPr>
        <w:t>般公共预算财政拨款支出决算明细表</w:t>
      </w:r>
      <w:bookmarkEnd w:id="70"/>
      <w:bookmarkEnd w:id="71"/>
    </w:p>
    <w:p>
      <w:pPr>
        <w:pStyle w:val="4"/>
        <w:rPr>
          <w:rFonts w:ascii="仿宋" w:hAnsi="仿宋" w:eastAsia="仿宋"/>
          <w:color w:val="000000"/>
        </w:rPr>
      </w:pPr>
      <w:bookmarkStart w:id="72" w:name="_Toc12549"/>
      <w:bookmarkStart w:id="73" w:name="_Toc15396626"/>
      <w:r>
        <w:rPr>
          <w:rStyle w:val="17"/>
          <w:rFonts w:hint="eastAsia" w:ascii="仿宋" w:hAnsi="仿宋" w:eastAsia="仿宋"/>
          <w:b w:val="0"/>
          <w:bCs w:val="0"/>
        </w:rPr>
        <w:t>八、</w:t>
      </w:r>
      <w:r>
        <w:rPr>
          <w:rFonts w:hint="eastAsia" w:ascii="仿宋" w:hAnsi="仿宋" w:eastAsia="仿宋"/>
          <w:b w:val="0"/>
          <w:color w:val="000000"/>
        </w:rPr>
        <w:t>一</w:t>
      </w:r>
      <w:r>
        <w:rPr>
          <w:rStyle w:val="17"/>
          <w:rFonts w:hint="eastAsia" w:ascii="仿宋" w:hAnsi="仿宋" w:eastAsia="仿宋"/>
          <w:b w:val="0"/>
          <w:bCs w:val="0"/>
        </w:rPr>
        <w:t>般公共预算财政拨款基本支出决算表</w:t>
      </w:r>
      <w:bookmarkEnd w:id="72"/>
      <w:bookmarkEnd w:id="73"/>
    </w:p>
    <w:p>
      <w:pPr>
        <w:pStyle w:val="4"/>
        <w:rPr>
          <w:rFonts w:ascii="仿宋" w:hAnsi="仿宋" w:eastAsia="仿宋"/>
          <w:color w:val="000000"/>
        </w:rPr>
      </w:pPr>
      <w:bookmarkStart w:id="74" w:name="_Toc19168"/>
      <w:bookmarkStart w:id="75" w:name="_Toc15396627"/>
      <w:r>
        <w:rPr>
          <w:rStyle w:val="17"/>
          <w:rFonts w:hint="eastAsia" w:ascii="仿宋" w:hAnsi="仿宋" w:eastAsia="仿宋"/>
          <w:b w:val="0"/>
          <w:bCs w:val="0"/>
        </w:rPr>
        <w:t>九、</w:t>
      </w:r>
      <w:r>
        <w:rPr>
          <w:rFonts w:hint="eastAsia" w:ascii="仿宋" w:hAnsi="仿宋" w:eastAsia="仿宋"/>
          <w:b w:val="0"/>
          <w:color w:val="000000"/>
        </w:rPr>
        <w:t>一</w:t>
      </w:r>
      <w:r>
        <w:rPr>
          <w:rStyle w:val="17"/>
          <w:rFonts w:hint="eastAsia" w:ascii="仿宋" w:hAnsi="仿宋" w:eastAsia="仿宋"/>
          <w:b w:val="0"/>
          <w:bCs w:val="0"/>
        </w:rPr>
        <w:t>般公共预算财政拨款项目支出决算表</w:t>
      </w:r>
      <w:bookmarkEnd w:id="74"/>
      <w:bookmarkEnd w:id="75"/>
    </w:p>
    <w:p>
      <w:pPr>
        <w:pStyle w:val="4"/>
        <w:spacing w:line="360" w:lineRule="auto"/>
        <w:rPr>
          <w:rFonts w:ascii="仿宋" w:hAnsi="仿宋" w:eastAsia="仿宋"/>
          <w:color w:val="000000"/>
        </w:rPr>
      </w:pPr>
      <w:bookmarkStart w:id="76" w:name="_Toc18941"/>
      <w:bookmarkStart w:id="77" w:name="_Toc15396628"/>
      <w:r>
        <w:rPr>
          <w:rStyle w:val="17"/>
          <w:rFonts w:hint="eastAsia" w:ascii="仿宋" w:hAnsi="仿宋" w:eastAsia="仿宋"/>
          <w:b w:val="0"/>
          <w:bCs w:val="0"/>
        </w:rPr>
        <w:t>十、</w:t>
      </w:r>
      <w:r>
        <w:rPr>
          <w:rFonts w:hint="eastAsia" w:ascii="仿宋" w:hAnsi="仿宋" w:eastAsia="仿宋"/>
          <w:b w:val="0"/>
          <w:color w:val="000000"/>
        </w:rPr>
        <w:t>一</w:t>
      </w:r>
      <w:r>
        <w:rPr>
          <w:rStyle w:val="17"/>
          <w:rFonts w:hint="eastAsia" w:ascii="仿宋" w:hAnsi="仿宋" w:eastAsia="仿宋"/>
          <w:b w:val="0"/>
          <w:bCs w:val="0"/>
        </w:rPr>
        <w:t>般公共预算财政拨款“三公”经费支出决算表</w:t>
      </w:r>
      <w:bookmarkEnd w:id="76"/>
      <w:bookmarkEnd w:id="77"/>
    </w:p>
    <w:p>
      <w:pPr>
        <w:pStyle w:val="4"/>
        <w:spacing w:line="360" w:lineRule="auto"/>
        <w:rPr>
          <w:rFonts w:ascii="仿宋" w:hAnsi="仿宋" w:eastAsia="仿宋"/>
          <w:color w:val="000000"/>
        </w:rPr>
      </w:pPr>
      <w:bookmarkStart w:id="78" w:name="_Toc15396629"/>
      <w:bookmarkStart w:id="79" w:name="_Toc15180"/>
      <w:r>
        <w:rPr>
          <w:rStyle w:val="17"/>
          <w:rFonts w:hint="eastAsia" w:ascii="仿宋" w:hAnsi="仿宋" w:eastAsia="仿宋"/>
          <w:b w:val="0"/>
          <w:bCs w:val="0"/>
        </w:rPr>
        <w:t>十一、</w:t>
      </w:r>
      <w:r>
        <w:rPr>
          <w:rFonts w:hint="eastAsia" w:ascii="仿宋" w:hAnsi="仿宋" w:eastAsia="仿宋"/>
          <w:b w:val="0"/>
          <w:color w:val="000000"/>
        </w:rPr>
        <w:t>政</w:t>
      </w:r>
      <w:r>
        <w:rPr>
          <w:rStyle w:val="17"/>
          <w:rFonts w:hint="eastAsia" w:ascii="仿宋" w:hAnsi="仿宋" w:eastAsia="仿宋"/>
          <w:b w:val="0"/>
          <w:bCs w:val="0"/>
        </w:rPr>
        <w:t>府性基金预算财政拨款收入支出决算表</w:t>
      </w:r>
      <w:bookmarkEnd w:id="78"/>
      <w:bookmarkEnd w:id="79"/>
    </w:p>
    <w:p>
      <w:pPr>
        <w:pStyle w:val="4"/>
        <w:rPr>
          <w:rFonts w:hint="eastAsia" w:ascii="仿宋" w:hAnsi="仿宋" w:eastAsia="仿宋"/>
          <w:b w:val="0"/>
          <w:color w:val="000000"/>
        </w:rPr>
      </w:pPr>
      <w:bookmarkStart w:id="80" w:name="_Toc15396630"/>
      <w:bookmarkStart w:id="81" w:name="_Toc23897"/>
      <w:r>
        <w:rPr>
          <w:rFonts w:hint="eastAsia" w:ascii="仿宋" w:hAnsi="仿宋" w:eastAsia="仿宋"/>
          <w:b w:val="0"/>
          <w:color w:val="000000"/>
        </w:rPr>
        <w:t>十二、政府性基金预算财政拨款“三公”经费支出决算表</w:t>
      </w:r>
      <w:bookmarkEnd w:id="80"/>
      <w:bookmarkEnd w:id="81"/>
    </w:p>
    <w:p>
      <w:pPr>
        <w:pStyle w:val="4"/>
        <w:rPr>
          <w:rFonts w:hint="eastAsia" w:ascii="仿宋" w:hAnsi="仿宋" w:eastAsia="仿宋"/>
          <w:b w:val="0"/>
          <w:color w:val="000000"/>
        </w:rPr>
      </w:pPr>
      <w:bookmarkStart w:id="82" w:name="_Toc3960"/>
      <w:r>
        <w:rPr>
          <w:rFonts w:hint="eastAsia" w:ascii="仿宋" w:hAnsi="仿宋" w:eastAsia="仿宋"/>
          <w:b w:val="0"/>
          <w:color w:val="000000"/>
        </w:rPr>
        <w:t>十三、国有资本经营预算财政拨款收入支出决算表</w:t>
      </w:r>
      <w:bookmarkEnd w:id="82"/>
    </w:p>
    <w:p>
      <w:pPr>
        <w:pStyle w:val="4"/>
        <w:rPr>
          <w:rFonts w:hint="eastAsia" w:ascii="仿宋" w:hAnsi="仿宋" w:eastAsia="仿宋"/>
          <w:b w:val="0"/>
          <w:color w:val="000000"/>
        </w:rPr>
      </w:pPr>
      <w:bookmarkStart w:id="83" w:name="_Toc441"/>
      <w:r>
        <w:rPr>
          <w:rFonts w:hint="eastAsia" w:ascii="仿宋" w:hAnsi="仿宋" w:eastAsia="仿宋"/>
          <w:b w:val="0"/>
          <w:color w:val="000000"/>
        </w:rPr>
        <w:t>十四、国有资本经营预算财政拨款支出决算表</w:t>
      </w:r>
      <w:bookmarkEnd w:id="83"/>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D90A0"/>
    <w:multiLevelType w:val="singleLevel"/>
    <w:tmpl w:val="979D90A0"/>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4">
    <w:nsid w:val="78922279"/>
    <w:multiLevelType w:val="singleLevel"/>
    <w:tmpl w:val="78922279"/>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04078C"/>
    <w:rsid w:val="06D96529"/>
    <w:rsid w:val="0AB9552D"/>
    <w:rsid w:val="312C1AFE"/>
    <w:rsid w:val="3E4169FF"/>
    <w:rsid w:val="3F9A05DB"/>
    <w:rsid w:val="42B21561"/>
    <w:rsid w:val="47BD0CAB"/>
    <w:rsid w:val="4B8C2788"/>
    <w:rsid w:val="56774470"/>
    <w:rsid w:val="5D3E75DF"/>
    <w:rsid w:val="5F375503"/>
    <w:rsid w:val="60E45C15"/>
    <w:rsid w:val="6504078C"/>
    <w:rsid w:val="65E506F6"/>
    <w:rsid w:val="701A1EEC"/>
    <w:rsid w:val="726E3979"/>
    <w:rsid w:val="72844644"/>
    <w:rsid w:val="747D4DEF"/>
    <w:rsid w:val="788E4A9C"/>
    <w:rsid w:val="7C547581"/>
    <w:rsid w:val="B7DF065C"/>
    <w:rsid w:val="FEF74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0"/>
    <w:unhideWhenUsed/>
    <w:qFormat/>
    <w:uiPriority w:val="9"/>
    <w:pPr>
      <w:keepNext/>
      <w:keepLines/>
      <w:spacing w:before="260" w:after="260" w:line="416" w:lineRule="auto"/>
      <w:outlineLvl w:val="1"/>
    </w:pPr>
    <w:rPr>
      <w:rFonts w:ascii="Cambria" w:hAnsi="Cambria"/>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24"/>
      <w:szCs w:val="20"/>
    </w:rPr>
  </w:style>
  <w:style w:type="paragraph" w:styleId="5">
    <w:name w:val="index 5"/>
    <w:basedOn w:val="1"/>
    <w:next w:val="1"/>
    <w:qFormat/>
    <w:uiPriority w:val="0"/>
    <w:pPr>
      <w:ind w:left="1680"/>
    </w:pPr>
  </w:style>
  <w:style w:type="paragraph" w:styleId="6">
    <w:name w:val="Body Text Indent"/>
    <w:basedOn w:val="1"/>
    <w:qFormat/>
    <w:uiPriority w:val="0"/>
    <w:pPr>
      <w:spacing w:line="560" w:lineRule="exact"/>
      <w:ind w:firstLine="640" w:firstLineChars="200"/>
    </w:pPr>
  </w:style>
  <w:style w:type="paragraph" w:styleId="7">
    <w:name w:val="footer"/>
    <w:basedOn w:val="1"/>
    <w:qFormat/>
    <w:uiPriority w:val="99"/>
    <w:pPr>
      <w:tabs>
        <w:tab w:val="center" w:pos="4153"/>
        <w:tab w:val="right" w:pos="8306"/>
      </w:tabs>
      <w:snapToGrid w:val="0"/>
      <w:jc w:val="left"/>
    </w:pPr>
    <w:rPr>
      <w:rFonts w:ascii="Calibri" w:hAnsi="Calibri"/>
      <w:kern w:val="0"/>
      <w:sz w:val="18"/>
      <w:szCs w:val="20"/>
    </w:rPr>
  </w:style>
  <w:style w:type="paragraph" w:styleId="8">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9">
    <w:name w:val="toc 1"/>
    <w:basedOn w:val="1"/>
    <w:next w:val="1"/>
    <w:unhideWhenUsed/>
    <w:qFormat/>
    <w:uiPriority w:val="39"/>
    <w:pPr>
      <w:spacing w:before="120"/>
      <w:jc w:val="left"/>
    </w:pPr>
    <w:rPr>
      <w:rFonts w:ascii="等线" w:eastAsia="等线"/>
      <w:b/>
      <w:bCs/>
      <w:i/>
      <w:iCs/>
      <w:sz w:val="24"/>
    </w:rPr>
  </w:style>
  <w:style w:type="paragraph" w:styleId="10">
    <w:name w:val="toc 2"/>
    <w:basedOn w:val="1"/>
    <w:next w:val="1"/>
    <w:unhideWhenUsed/>
    <w:qFormat/>
    <w:uiPriority w:val="39"/>
    <w:pPr>
      <w:spacing w:before="120"/>
      <w:ind w:left="300"/>
      <w:jc w:val="left"/>
    </w:pPr>
    <w:rPr>
      <w:rFonts w:ascii="等线" w:eastAsia="等线"/>
      <w:b/>
      <w:bCs/>
      <w:sz w:val="22"/>
      <w:szCs w:val="22"/>
    </w:rPr>
  </w:style>
  <w:style w:type="paragraph" w:styleId="11">
    <w:name w:val="Body Text First Indent 2"/>
    <w:basedOn w:val="6"/>
    <w:next w:val="5"/>
    <w:qFormat/>
    <w:uiPriority w:val="0"/>
    <w:pPr>
      <w:spacing w:after="120" w:line="240" w:lineRule="auto"/>
      <w:ind w:left="420" w:leftChars="200" w:firstLine="420"/>
    </w:pPr>
  </w:style>
  <w:style w:type="character" w:styleId="14">
    <w:name w:val="Strong"/>
    <w:basedOn w:val="13"/>
    <w:qFormat/>
    <w:uiPriority w:val="99"/>
    <w:rPr>
      <w:rFonts w:cs="Times New Roman"/>
      <w:b/>
    </w:rPr>
  </w:style>
  <w:style w:type="character" w:styleId="15">
    <w:name w:val="Hyperlink"/>
    <w:unhideWhenUsed/>
    <w:qFormat/>
    <w:uiPriority w:val="99"/>
    <w:rPr>
      <w:color w:val="0000FF"/>
      <w:u w:val="single"/>
    </w:rPr>
  </w:style>
  <w:style w:type="character" w:customStyle="1" w:styleId="16">
    <w:name w:val=" Char Char6"/>
    <w:basedOn w:val="13"/>
    <w:link w:val="3"/>
    <w:qFormat/>
    <w:locked/>
    <w:uiPriority w:val="9"/>
    <w:rPr>
      <w:b/>
      <w:bCs/>
      <w:kern w:val="44"/>
      <w:sz w:val="44"/>
      <w:szCs w:val="44"/>
    </w:rPr>
  </w:style>
  <w:style w:type="character" w:customStyle="1" w:styleId="17">
    <w:name w:val=" Char Char5"/>
    <w:basedOn w:val="13"/>
    <w:link w:val="4"/>
    <w:qFormat/>
    <w:locked/>
    <w:uiPriority w:val="9"/>
    <w:rPr>
      <w:rFonts w:ascii="Cambria" w:hAnsi="Cambria"/>
      <w:b/>
      <w:bCs/>
      <w:sz w:val="32"/>
      <w:szCs w:val="32"/>
    </w:rPr>
  </w:style>
  <w:style w:type="paragraph" w:customStyle="1" w:styleId="18">
    <w:name w:val="List Paragraph"/>
    <w:basedOn w:val="1"/>
    <w:qFormat/>
    <w:uiPriority w:val="34"/>
    <w:pPr>
      <w:ind w:firstLine="420" w:firstLineChars="200"/>
    </w:pPr>
  </w:style>
  <w:style w:type="paragraph" w:customStyle="1" w:styleId="1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0">
    <w:name w:val="标题 2 Char"/>
    <w:basedOn w:val="13"/>
    <w:link w:val="4"/>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image" Target="media/image1.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收入支出总计</a:t>
            </a:r>
          </a:p>
        </c:rich>
      </c:tx>
      <c:layout/>
      <c:overlay val="0"/>
      <c:spPr>
        <a:noFill/>
        <a:ln>
          <a:noFill/>
        </a:ln>
        <a:effectLst/>
      </c:spPr>
    </c:title>
    <c:autoTitleDeleted val="0"/>
    <c:plotArea>
      <c:layout>
        <c:manualLayout>
          <c:layoutTarget val="inner"/>
          <c:xMode val="edge"/>
          <c:yMode val="edge"/>
          <c:x val="0.061575"/>
          <c:y val="0.121166666666667"/>
          <c:w val="0.910925"/>
          <c:h val="0.716066666666667"/>
        </c:manualLayout>
      </c:layout>
      <c:barChart>
        <c:barDir val="col"/>
        <c:grouping val="stacked"/>
        <c:varyColors val="0"/>
        <c:ser>
          <c:idx val="0"/>
          <c:order val="0"/>
          <c:tx>
            <c:strRef>
              <c:f>Sheet1!#REF!</c:f>
              <c:strCache>
                <c:ptCount val="1"/>
                <c:pt idx="0">
                  <c:v/>
                </c:pt>
              </c:strCache>
            </c:strRef>
          </c:tx>
          <c:spPr>
            <a:solidFill>
              <a:schemeClr val="accent1"/>
            </a:solidFill>
            <a:ln>
              <a:noFill/>
            </a:ln>
            <a:effectLst/>
          </c:spPr>
          <c:invertIfNegative val="0"/>
          <c:dLbls>
            <c:delete val="1"/>
          </c:dLbls>
          <c:cat>
            <c:numRef>
              <c:f>Sheet1!$A$1:$A$2</c:f>
              <c:numCache>
                <c:formatCode>General</c:formatCode>
                <c:ptCount val="2"/>
                <c:pt idx="0">
                  <c:v>2020</c:v>
                </c:pt>
                <c:pt idx="1">
                  <c:v>2021</c:v>
                </c:pt>
              </c:numCache>
            </c:numRef>
          </c:cat>
          <c:val>
            <c:numRef>
              <c:f>Sheet1!$B$1:$B$2</c:f>
              <c:numCache>
                <c:formatCode>General</c:formatCode>
                <c:ptCount val="2"/>
                <c:pt idx="0">
                  <c:v>98.8</c:v>
                </c:pt>
                <c:pt idx="1">
                  <c:v>107.53</c:v>
                </c:pt>
              </c:numCache>
            </c:numRef>
          </c:val>
        </c:ser>
        <c:dLbls>
          <c:showLegendKey val="0"/>
          <c:showVal val="0"/>
          <c:showCatName val="0"/>
          <c:showSerName val="0"/>
          <c:showPercent val="0"/>
          <c:showBubbleSize val="0"/>
        </c:dLbls>
        <c:gapWidth val="150"/>
        <c:overlap val="100"/>
        <c:axId val="637986078"/>
        <c:axId val="122111572"/>
      </c:barChart>
      <c:catAx>
        <c:axId val="63798607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2111572"/>
        <c:crosses val="autoZero"/>
        <c:auto val="1"/>
        <c:lblAlgn val="ctr"/>
        <c:lblOffset val="100"/>
        <c:noMultiLvlLbl val="0"/>
      </c:catAx>
      <c:valAx>
        <c:axId val="1221115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798607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本年收入</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100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334411764705882"/>
          <c:y val="0.88989637305699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本年支出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67.83</c:v>
                </c:pt>
                <c:pt idx="1">
                  <c:v>39.7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财政拨款收支总计</a:t>
            </a:r>
          </a:p>
        </c:rich>
      </c:tx>
      <c:layout/>
      <c:overlay val="0"/>
      <c:spPr>
        <a:noFill/>
        <a:ln>
          <a:noFill/>
        </a:ln>
        <a:effectLst/>
      </c:spPr>
    </c:title>
    <c:autoTitleDeleted val="0"/>
    <c:plotArea>
      <c:layout/>
      <c:barChart>
        <c:barDir val="col"/>
        <c:grouping val="stacked"/>
        <c:varyColors val="0"/>
        <c:ser>
          <c:idx val="0"/>
          <c:order val="0"/>
          <c:tx>
            <c:strRef>
              <c:f>Sheet1!#REF!</c:f>
              <c:strCache>
                <c:ptCount val="1"/>
                <c:pt idx="0">
                  <c:v/>
                </c:pt>
              </c:strCache>
            </c:strRef>
          </c:tx>
          <c:spPr>
            <a:solidFill>
              <a:schemeClr val="accent1"/>
            </a:solidFill>
            <a:ln>
              <a:noFill/>
            </a:ln>
            <a:effectLst/>
          </c:spPr>
          <c:invertIfNegative val="0"/>
          <c:dLbls>
            <c:delete val="1"/>
          </c:dLbls>
          <c:cat>
            <c:numRef>
              <c:f>Sheet1!$A$1:$A$2</c:f>
              <c:numCache>
                <c:formatCode>General</c:formatCode>
                <c:ptCount val="2"/>
                <c:pt idx="0">
                  <c:v>2020</c:v>
                </c:pt>
                <c:pt idx="1">
                  <c:v>2021</c:v>
                </c:pt>
              </c:numCache>
            </c:numRef>
          </c:cat>
          <c:val>
            <c:numRef>
              <c:f>Sheet1!$B$1:$B$2</c:f>
              <c:numCache>
                <c:formatCode>General</c:formatCode>
                <c:ptCount val="2"/>
                <c:pt idx="0">
                  <c:v>98.8</c:v>
                </c:pt>
                <c:pt idx="1">
                  <c:v>107.53</c:v>
                </c:pt>
              </c:numCache>
            </c:numRef>
          </c:val>
        </c:ser>
        <c:dLbls>
          <c:showLegendKey val="0"/>
          <c:showVal val="0"/>
          <c:showCatName val="0"/>
          <c:showSerName val="0"/>
          <c:showPercent val="0"/>
          <c:showBubbleSize val="0"/>
        </c:dLbls>
        <c:gapWidth val="150"/>
        <c:overlap val="100"/>
        <c:axId val="719077769"/>
        <c:axId val="114494137"/>
      </c:barChart>
      <c:catAx>
        <c:axId val="71907776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4494137"/>
        <c:crosses val="autoZero"/>
        <c:auto val="1"/>
        <c:lblAlgn val="ctr"/>
        <c:lblOffset val="100"/>
        <c:noMultiLvlLbl val="0"/>
      </c:catAx>
      <c:valAx>
        <c:axId val="11449413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907776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a:t>
            </a:r>
          </a:p>
        </c:rich>
      </c:tx>
      <c:layout/>
      <c:overlay val="0"/>
      <c:spPr>
        <a:noFill/>
        <a:ln>
          <a:noFill/>
        </a:ln>
        <a:effectLst/>
      </c:spPr>
    </c:title>
    <c:autoTitleDeleted val="0"/>
    <c:plotArea>
      <c:layout>
        <c:manualLayout>
          <c:layoutTarget val="inner"/>
          <c:xMode val="edge"/>
          <c:yMode val="edge"/>
          <c:x val="0.061575"/>
          <c:y val="0.121166666666667"/>
          <c:w val="0.910925"/>
          <c:h val="0.716066666666667"/>
        </c:manualLayout>
      </c:layout>
      <c:barChart>
        <c:barDir val="col"/>
        <c:grouping val="stacked"/>
        <c:varyColors val="0"/>
        <c:ser>
          <c:idx val="0"/>
          <c:order val="0"/>
          <c:tx>
            <c:strRef>
              <c:f>Sheet1!#REF!</c:f>
              <c:strCache>
                <c:ptCount val="1"/>
                <c:pt idx="0">
                  <c:v/>
                </c:pt>
              </c:strCache>
            </c:strRef>
          </c:tx>
          <c:spPr>
            <a:solidFill>
              <a:schemeClr val="accent1"/>
            </a:solidFill>
            <a:ln>
              <a:noFill/>
            </a:ln>
            <a:effectLst/>
          </c:spPr>
          <c:invertIfNegative val="0"/>
          <c:dLbls>
            <c:delete val="1"/>
          </c:dLbls>
          <c:cat>
            <c:numRef>
              <c:f>Sheet1!$A$1:$A$2</c:f>
              <c:numCache>
                <c:formatCode>General</c:formatCode>
                <c:ptCount val="2"/>
                <c:pt idx="0">
                  <c:v>2020</c:v>
                </c:pt>
                <c:pt idx="1">
                  <c:v>2021</c:v>
                </c:pt>
              </c:numCache>
            </c:numRef>
          </c:cat>
          <c:val>
            <c:numRef>
              <c:f>Sheet1!$B$1:$B$2</c:f>
              <c:numCache>
                <c:formatCode>General</c:formatCode>
                <c:ptCount val="2"/>
                <c:pt idx="0">
                  <c:v>98.8</c:v>
                </c:pt>
                <c:pt idx="1">
                  <c:v>107.53</c:v>
                </c:pt>
              </c:numCache>
            </c:numRef>
          </c:val>
        </c:ser>
        <c:dLbls>
          <c:showLegendKey val="0"/>
          <c:showVal val="0"/>
          <c:showCatName val="0"/>
          <c:showSerName val="0"/>
          <c:showPercent val="0"/>
          <c:showBubbleSize val="0"/>
        </c:dLbls>
        <c:gapWidth val="150"/>
        <c:overlap val="100"/>
        <c:axId val="637986078"/>
        <c:axId val="122111572"/>
      </c:barChart>
      <c:catAx>
        <c:axId val="63798607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2111572"/>
        <c:crosses val="autoZero"/>
        <c:auto val="1"/>
        <c:lblAlgn val="ctr"/>
        <c:lblOffset val="100"/>
        <c:noMultiLvlLbl val="0"/>
      </c:catAx>
      <c:valAx>
        <c:axId val="1221115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798607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公务接待费</c:v>
                </c:pt>
              </c:strCache>
            </c:strRef>
          </c:cat>
          <c:val>
            <c:numRef>
              <c:f>Sheet1!$B$2</c:f>
              <c:numCache>
                <c:formatCode>General</c:formatCode>
                <c:ptCount val="1"/>
                <c:pt idx="0">
                  <c:v>0.1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2021-09-09T03:29:00Z</dcterms:created>
  <dc:creator>Administrator</dc:creator>
  <cp:lastModifiedBy>Administrator</cp:lastModifiedBy>
  <dcterms:modified xsi:type="dcterms:W3CDTF">2023-09-18T06:52:51Z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AD572CED77974D8E8408BD5F759D5159</vt:lpwstr>
  </property>
</Properties>
</file>