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自贡市</w:t>
      </w:r>
      <w:r>
        <w:rPr>
          <w:rFonts w:hint="eastAsia" w:ascii="方正小标宋简体" w:eastAsia="方正小标宋简体"/>
          <w:sz w:val="44"/>
          <w:szCs w:val="44"/>
          <w:lang w:eastAsia="zh-CN"/>
        </w:rPr>
        <w:t>法学会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2020年度部门决算编制的说明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spacing w:line="500" w:lineRule="exact"/>
        <w:jc w:val="center"/>
        <w:rPr>
          <w:rFonts w:ascii="黑体" w:hAnsi="黑体" w:eastAsia="黑体"/>
          <w:color w:val="FF0000"/>
          <w:sz w:val="28"/>
          <w:szCs w:val="28"/>
        </w:rPr>
      </w:pPr>
    </w:p>
    <w:p>
      <w:pPr>
        <w:pStyle w:val="17"/>
        <w:spacing w:line="500" w:lineRule="exact"/>
        <w:jc w:val="center"/>
        <w:rPr>
          <w:rFonts w:ascii="仿宋_GB2312" w:eastAsia="仿宋_GB2312"/>
          <w:i w:val="0"/>
          <w:color w:val="FF0000"/>
          <w:sz w:val="32"/>
        </w:rPr>
      </w:pPr>
      <w:r>
        <w:rPr>
          <w:rFonts w:hint="eastAsia" w:ascii="仿宋_GB2312" w:eastAsia="仿宋_GB2312"/>
          <w:i w:val="0"/>
          <w:color w:val="FF0000"/>
          <w:sz w:val="32"/>
        </w:rPr>
        <w:t>公开时间：2021年9月</w:t>
      </w:r>
      <w:r>
        <w:rPr>
          <w:rFonts w:hint="eastAsia" w:ascii="仿宋_GB2312" w:eastAsia="仿宋_GB2312"/>
          <w:i w:val="0"/>
          <w:color w:val="FF0000"/>
          <w:sz w:val="32"/>
          <w:lang w:val="en-US" w:eastAsia="zh-CN"/>
        </w:rPr>
        <w:t>30</w:t>
      </w:r>
      <w:bookmarkStart w:id="125" w:name="_GoBack"/>
      <w:bookmarkEnd w:id="125"/>
      <w:r>
        <w:rPr>
          <w:rFonts w:hint="eastAsia" w:ascii="仿宋_GB2312" w:eastAsia="仿宋_GB2312"/>
          <w:i w:val="0"/>
          <w:color w:val="FF0000"/>
          <w:sz w:val="32"/>
        </w:rPr>
        <w:t>日</w:t>
      </w:r>
    </w:p>
    <w:p>
      <w:pPr>
        <w:pStyle w:val="17"/>
        <w:tabs>
          <w:tab w:val="right" w:leader="dot" w:pos="8834"/>
        </w:tabs>
        <w:spacing w:line="500" w:lineRule="exact"/>
        <w:rPr>
          <w:rFonts w:ascii="仿宋_GB2312" w:hAnsi="等线" w:eastAsia="仿宋_GB2312"/>
          <w:b w:val="0"/>
          <w:bCs w:val="0"/>
          <w:i w:val="0"/>
          <w:iCs w:val="0"/>
          <w:sz w:val="28"/>
          <w:szCs w:val="28"/>
        </w:rPr>
      </w:pPr>
      <w:r>
        <w:rPr>
          <w:rFonts w:ascii="等线 Light" w:eastAsia="等线 Light"/>
          <w:i w:val="0"/>
          <w:iCs w:val="0"/>
          <w:caps/>
          <w:sz w:val="28"/>
          <w:szCs w:val="28"/>
        </w:rPr>
        <w:fldChar w:fldCharType="begin"/>
      </w:r>
      <w:r>
        <w:rPr>
          <w:rFonts w:ascii="等线 Light" w:eastAsia="等线 Light"/>
          <w:i w:val="0"/>
          <w:iCs w:val="0"/>
          <w:caps/>
          <w:sz w:val="28"/>
          <w:szCs w:val="28"/>
        </w:rPr>
        <w:instrText xml:space="preserve"> TOC \o "1-2" \h \z \u </w:instrText>
      </w:r>
      <w:r>
        <w:rPr>
          <w:rFonts w:ascii="等线 Light" w:eastAsia="等线 Light"/>
          <w:i w:val="0"/>
          <w:iCs w:val="0"/>
          <w:caps/>
          <w:sz w:val="28"/>
          <w:szCs w:val="28"/>
        </w:rPr>
        <w:fldChar w:fldCharType="separate"/>
      </w:r>
      <w:r>
        <w:fldChar w:fldCharType="begin"/>
      </w:r>
      <w:r>
        <w:instrText xml:space="preserve"> HYPERLINK \l "_Toc49976112" </w:instrText>
      </w:r>
      <w:r>
        <w:fldChar w:fldCharType="separate"/>
      </w:r>
      <w:r>
        <w:rPr>
          <w:rStyle w:val="33"/>
          <w:rFonts w:hint="eastAsia" w:ascii="仿宋_GB2312" w:hAnsi="黑体" w:eastAsia="仿宋_GB2312"/>
          <w:b w:val="0"/>
          <w:i w:val="0"/>
          <w:sz w:val="28"/>
          <w:szCs w:val="28"/>
        </w:rPr>
        <w:t>第一部分 部门概况</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_Toc49976112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3</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"_Toc49976113" </w:instrText>
      </w:r>
      <w:r>
        <w:fldChar w:fldCharType="separate"/>
      </w:r>
      <w:r>
        <w:rPr>
          <w:rStyle w:val="33"/>
          <w:rFonts w:hint="eastAsia" w:ascii="仿宋_GB2312" w:hAnsi="黑体" w:eastAsia="仿宋_GB2312"/>
          <w:b w:val="0"/>
          <w:sz w:val="28"/>
          <w:szCs w:val="28"/>
        </w:rPr>
        <w:t>一、基本职能及主要工作</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_Toc49976113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"_Toc49976114" </w:instrText>
      </w:r>
      <w:r>
        <w:fldChar w:fldCharType="separate"/>
      </w:r>
      <w:r>
        <w:rPr>
          <w:rStyle w:val="33"/>
          <w:rFonts w:hint="eastAsia" w:ascii="仿宋_GB2312" w:eastAsia="仿宋_GB2312"/>
          <w:b w:val="0"/>
          <w:sz w:val="28"/>
          <w:szCs w:val="28"/>
        </w:rPr>
        <w:t>二、</w:t>
      </w:r>
      <w:r>
        <w:rPr>
          <w:rStyle w:val="33"/>
          <w:rFonts w:hint="eastAsia" w:ascii="仿宋_GB2312" w:hAnsi="黑体" w:eastAsia="仿宋_GB2312"/>
          <w:b w:val="0"/>
          <w:sz w:val="28"/>
          <w:szCs w:val="28"/>
        </w:rPr>
        <w:t>机构设置</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_Toc49976114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"_Toc49976115" </w:instrText>
      </w:r>
      <w:r>
        <w:fldChar w:fldCharType="separate"/>
      </w:r>
      <w:r>
        <w:rPr>
          <w:rStyle w:val="33"/>
          <w:rFonts w:hint="eastAsia" w:ascii="仿宋_GB2312" w:hAnsi="黑体" w:eastAsia="仿宋_GB2312"/>
          <w:b w:val="0"/>
          <w:i w:val="0"/>
          <w:sz w:val="28"/>
          <w:szCs w:val="28"/>
        </w:rPr>
        <w:t>第二部分 20</w:t>
      </w:r>
      <w:r>
        <w:rPr>
          <w:rStyle w:val="33"/>
          <w:rFonts w:hint="eastAsia" w:ascii="仿宋_GB2312" w:hAnsi="黑体" w:eastAsia="仿宋_GB2312"/>
          <w:b w:val="0"/>
          <w:i w:val="0"/>
          <w:sz w:val="28"/>
          <w:szCs w:val="28"/>
          <w:lang w:val="en-US" w:eastAsia="zh-CN"/>
        </w:rPr>
        <w:t>20</w:t>
      </w:r>
      <w:r>
        <w:rPr>
          <w:rStyle w:val="33"/>
          <w:rFonts w:hint="eastAsia" w:ascii="仿宋_GB2312" w:hAnsi="黑体" w:eastAsia="仿宋_GB2312"/>
          <w:b w:val="0"/>
          <w:i w:val="0"/>
          <w:sz w:val="28"/>
          <w:szCs w:val="28"/>
        </w:rPr>
        <w:t>年度部门决算情况说明</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_Toc49976115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5</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"_Toc49976116" </w:instrText>
      </w:r>
      <w:r>
        <w:fldChar w:fldCharType="separate"/>
      </w:r>
      <w:r>
        <w:rPr>
          <w:rStyle w:val="33"/>
          <w:rFonts w:hint="eastAsia" w:ascii="仿宋_GB2312" w:hAnsi="黑体" w:eastAsia="仿宋_GB2312"/>
          <w:b w:val="0"/>
          <w:sz w:val="28"/>
          <w:szCs w:val="28"/>
        </w:rPr>
        <w:t>一、</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收入支出决算总体情况说明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_Toc49976116 \h </w:instrText>
      </w:r>
      <w:r>
        <w:rPr>
          <w:rFonts w:hint="eastAsia" w:ascii="仿宋_GB2312" w:eastAsia="仿宋_GB2312"/>
          <w:b w:val="0"/>
          <w:sz w:val="28"/>
          <w:szCs w:val="28"/>
        </w:rPr>
        <w:fldChar w:fldCharType="separate"/>
      </w:r>
      <w:r>
        <w:rPr>
          <w:rFonts w:hint="eastAsia" w:ascii="仿宋_GB2312" w:eastAsia="仿宋_GB2312"/>
          <w:b w:val="0"/>
          <w:sz w:val="28"/>
          <w:szCs w:val="28"/>
        </w:rPr>
        <w:t>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"_Toc49976117" </w:instrText>
      </w:r>
      <w:r>
        <w:fldChar w:fldCharType="separate"/>
      </w:r>
      <w:r>
        <w:rPr>
          <w:rStyle w:val="33"/>
          <w:rFonts w:hint="eastAsia" w:ascii="仿宋_GB2312" w:hAnsi="黑体" w:eastAsia="仿宋_GB2312"/>
          <w:b w:val="0"/>
          <w:sz w:val="28"/>
          <w:szCs w:val="28"/>
        </w:rPr>
        <w:t>二、</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收入决算情况说明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_Toc49976117 \h </w:instrText>
      </w:r>
      <w:r>
        <w:rPr>
          <w:rFonts w:hint="eastAsia" w:ascii="仿宋_GB2312" w:eastAsia="仿宋_GB2312"/>
          <w:b w:val="0"/>
          <w:sz w:val="28"/>
          <w:szCs w:val="28"/>
        </w:rPr>
        <w:fldChar w:fldCharType="separate"/>
      </w:r>
      <w:r>
        <w:rPr>
          <w:rFonts w:hint="eastAsia" w:ascii="仿宋_GB2312" w:eastAsia="仿宋_GB2312"/>
          <w:b w:val="0"/>
          <w:sz w:val="28"/>
          <w:szCs w:val="28"/>
        </w:rPr>
        <w:t>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"_Toc49976118" </w:instrText>
      </w:r>
      <w:r>
        <w:fldChar w:fldCharType="separate"/>
      </w:r>
      <w:r>
        <w:rPr>
          <w:rStyle w:val="33"/>
          <w:rFonts w:hint="eastAsia" w:ascii="仿宋_GB2312" w:hAnsi="黑体" w:eastAsia="仿宋_GB2312"/>
          <w:b w:val="0"/>
          <w:sz w:val="28"/>
          <w:szCs w:val="28"/>
        </w:rPr>
        <w:t>三、</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_Toc49976118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"_Toc49976119" </w:instrText>
      </w:r>
      <w:r>
        <w:fldChar w:fldCharType="separate"/>
      </w:r>
      <w:r>
        <w:rPr>
          <w:rStyle w:val="33"/>
          <w:rFonts w:hint="eastAsia" w:ascii="仿宋_GB2312" w:hAnsi="黑体" w:eastAsia="仿宋_GB2312"/>
          <w:b w:val="0"/>
          <w:sz w:val="28"/>
          <w:szCs w:val="28"/>
        </w:rPr>
        <w:t>四、财政拨款收入支出决算总体情况说明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_Toc49976119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"_Toc49976120" </w:instrText>
      </w:r>
      <w:r>
        <w:fldChar w:fldCharType="separate"/>
      </w:r>
      <w:r>
        <w:rPr>
          <w:rStyle w:val="33"/>
          <w:rFonts w:hint="eastAsia" w:ascii="仿宋_GB2312" w:hAnsi="黑体" w:eastAsia="仿宋_GB2312"/>
          <w:b w:val="0"/>
          <w:sz w:val="28"/>
          <w:szCs w:val="28"/>
        </w:rPr>
        <w:t>五、一般公共预算财政拨款支出决算情况说明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_Toc49976120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"_Toc49976121" </w:instrText>
      </w:r>
      <w:r>
        <w:fldChar w:fldCharType="separate"/>
      </w:r>
      <w:r>
        <w:rPr>
          <w:rStyle w:val="33"/>
          <w:rFonts w:hint="eastAsia" w:ascii="仿宋_GB2312" w:eastAsia="仿宋_GB2312"/>
          <w:b w:val="0"/>
          <w:sz w:val="28"/>
          <w:szCs w:val="28"/>
        </w:rPr>
        <w:t>六、</w:t>
      </w:r>
      <w:r>
        <w:rPr>
          <w:rStyle w:val="33"/>
          <w:rFonts w:hint="eastAsia" w:ascii="仿宋_GB2312" w:hAnsi="黑体" w:eastAsia="仿宋_GB2312"/>
          <w:b w:val="0"/>
          <w:sz w:val="28"/>
          <w:szCs w:val="28"/>
        </w:rPr>
        <w:t>一般公共预算财政拨款基本支出决算情况说明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_Toc49976121 \h </w:instrText>
      </w:r>
      <w:r>
        <w:rPr>
          <w:rFonts w:hint="eastAsia" w:ascii="仿宋_GB2312" w:eastAsia="仿宋_GB2312"/>
          <w:b w:val="0"/>
          <w:sz w:val="28"/>
          <w:szCs w:val="28"/>
        </w:rPr>
        <w:fldChar w:fldCharType="separate"/>
      </w:r>
      <w:r>
        <w:rPr>
          <w:rFonts w:hint="eastAsia" w:ascii="仿宋_GB2312" w:eastAsia="仿宋_GB2312"/>
          <w:b w:val="0"/>
          <w:sz w:val="28"/>
          <w:szCs w:val="28"/>
        </w:rPr>
        <w:t>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"_Toc49976122" </w:instrText>
      </w:r>
      <w:r>
        <w:fldChar w:fldCharType="separate"/>
      </w:r>
      <w:r>
        <w:rPr>
          <w:rStyle w:val="33"/>
          <w:rFonts w:hint="eastAsia" w:ascii="仿宋_GB2312" w:eastAsia="仿宋_GB2312"/>
          <w:b w:val="0"/>
          <w:sz w:val="28"/>
          <w:szCs w:val="28"/>
        </w:rPr>
        <w:t>七、</w:t>
      </w:r>
      <w:r>
        <w:rPr>
          <w:rStyle w:val="33"/>
          <w:rFonts w:hint="eastAsia" w:ascii="仿宋_GB2312" w:hAnsi="黑体" w:eastAsia="仿宋_GB2312"/>
          <w:b w:val="0"/>
          <w:sz w:val="28"/>
          <w:szCs w:val="28"/>
        </w:rPr>
        <w:t>“三公”经费财政拨款支出决算情况说明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_Toc49976122 \h </w:instrText>
      </w:r>
      <w:r>
        <w:rPr>
          <w:rFonts w:hint="eastAsia" w:ascii="仿宋_GB2312" w:eastAsia="仿宋_GB2312"/>
          <w:b w:val="0"/>
          <w:sz w:val="28"/>
          <w:szCs w:val="28"/>
        </w:rPr>
        <w:fldChar w:fldCharType="separate"/>
      </w:r>
      <w:r>
        <w:rPr>
          <w:rFonts w:hint="eastAsia" w:ascii="仿宋_GB2312" w:eastAsia="仿宋_GB2312"/>
          <w:b w:val="0"/>
          <w:sz w:val="28"/>
          <w:szCs w:val="28"/>
        </w:rPr>
        <w:t>9</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"_Toc49976123" </w:instrText>
      </w:r>
      <w:r>
        <w:fldChar w:fldCharType="separate"/>
      </w:r>
      <w:r>
        <w:rPr>
          <w:rStyle w:val="33"/>
          <w:rFonts w:hint="eastAsia" w:ascii="仿宋_GB2312" w:eastAsia="仿宋_GB2312"/>
          <w:b w:val="0"/>
          <w:sz w:val="28"/>
          <w:szCs w:val="28"/>
        </w:rPr>
        <w:t>八、</w:t>
      </w:r>
      <w:r>
        <w:rPr>
          <w:rStyle w:val="33"/>
          <w:rFonts w:hint="eastAsia" w:ascii="仿宋_GB2312" w:hAnsi="黑体" w:eastAsia="仿宋_GB2312"/>
          <w:b w:val="0"/>
          <w:sz w:val="28"/>
          <w:szCs w:val="28"/>
        </w:rPr>
        <w:t>政府性基金预算支出决算情况说明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_Toc49976123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"_Toc49976124" </w:instrText>
      </w:r>
      <w:r>
        <w:fldChar w:fldCharType="separate"/>
      </w:r>
      <w:r>
        <w:rPr>
          <w:rStyle w:val="33"/>
          <w:rFonts w:hint="eastAsia" w:ascii="仿宋_GB2312" w:hAnsi="黑体" w:eastAsia="仿宋_GB2312"/>
          <w:b w:val="0"/>
          <w:sz w:val="28"/>
          <w:szCs w:val="28"/>
        </w:rPr>
        <w:t>九、 国有资本经营预算支出决算情况说明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_Toc49976124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"_Toc49976125" </w:instrText>
      </w:r>
      <w:r>
        <w:fldChar w:fldCharType="separate"/>
      </w:r>
      <w:r>
        <w:rPr>
          <w:rStyle w:val="33"/>
          <w:rFonts w:hint="eastAsia" w:ascii="仿宋_GB2312" w:hAnsi="黑体" w:eastAsia="仿宋_GB2312"/>
          <w:b w:val="0"/>
          <w:sz w:val="28"/>
          <w:szCs w:val="28"/>
        </w:rPr>
        <w:t>十、其他重要事项的情况说明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_Toc49976125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"_Toc49976126" </w:instrText>
      </w:r>
      <w:r>
        <w:fldChar w:fldCharType="separate"/>
      </w:r>
      <w:r>
        <w:rPr>
          <w:rStyle w:val="33"/>
          <w:rFonts w:hint="eastAsia" w:ascii="仿宋_GB2312" w:hAnsi="黑体" w:eastAsia="仿宋_GB2312"/>
          <w:b w:val="0"/>
          <w:i w:val="0"/>
          <w:kern w:val="44"/>
          <w:sz w:val="28"/>
          <w:szCs w:val="28"/>
        </w:rPr>
        <w:t>第三部分</w:t>
      </w:r>
      <w:r>
        <w:rPr>
          <w:rStyle w:val="33"/>
          <w:rFonts w:hint="eastAsia" w:ascii="仿宋_GB2312" w:hAnsi="黑体" w:eastAsia="仿宋_GB2312"/>
          <w:b w:val="0"/>
          <w:i w:val="0"/>
          <w:sz w:val="28"/>
          <w:szCs w:val="28"/>
        </w:rPr>
        <w:t xml:space="preserve"> 名</w:t>
      </w:r>
      <w:r>
        <w:rPr>
          <w:rStyle w:val="33"/>
          <w:rFonts w:hint="eastAsia" w:ascii="仿宋_GB2312" w:hAnsi="黑体" w:eastAsia="仿宋_GB2312"/>
          <w:b w:val="0"/>
          <w:i w:val="0"/>
          <w:kern w:val="44"/>
          <w:sz w:val="28"/>
          <w:szCs w:val="28"/>
        </w:rPr>
        <w:t>词解释</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_Toc49976126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19</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"_Toc49976127" </w:instrText>
      </w:r>
      <w:r>
        <w:fldChar w:fldCharType="separate"/>
      </w:r>
      <w:r>
        <w:rPr>
          <w:rStyle w:val="33"/>
          <w:rFonts w:hint="eastAsia" w:ascii="仿宋_GB2312" w:hAnsi="黑体" w:eastAsia="仿宋_GB2312"/>
          <w:b w:val="0"/>
          <w:i w:val="0"/>
          <w:sz w:val="28"/>
          <w:szCs w:val="28"/>
        </w:rPr>
        <w:t>第</w:t>
      </w:r>
      <w:r>
        <w:rPr>
          <w:rStyle w:val="33"/>
          <w:rFonts w:hint="eastAsia" w:ascii="仿宋_GB2312" w:hAnsi="黑体" w:eastAsia="仿宋_GB2312"/>
          <w:b w:val="0"/>
          <w:i w:val="0"/>
          <w:kern w:val="44"/>
          <w:sz w:val="28"/>
          <w:szCs w:val="28"/>
        </w:rPr>
        <w:t>四部分 附件</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_Toc49976127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22</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"_Toc49976128" </w:instrText>
      </w:r>
      <w:r>
        <w:fldChar w:fldCharType="separate"/>
      </w:r>
      <w:r>
        <w:rPr>
          <w:rStyle w:val="33"/>
          <w:rFonts w:hint="eastAsia" w:ascii="仿宋_GB2312" w:hAnsi="黑体" w:eastAsia="仿宋_GB2312" w:cs="黑体"/>
          <w:b w:val="0"/>
          <w:sz w:val="28"/>
          <w:szCs w:val="28"/>
        </w:rPr>
        <w:t>附件1</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_Toc49976128 \h </w:instrText>
      </w:r>
      <w:r>
        <w:rPr>
          <w:rFonts w:hint="eastAsia" w:ascii="仿宋_GB2312" w:eastAsia="仿宋_GB2312"/>
          <w:b w:val="0"/>
          <w:sz w:val="28"/>
          <w:szCs w:val="28"/>
        </w:rPr>
        <w:fldChar w:fldCharType="separate"/>
      </w:r>
      <w:r>
        <w:rPr>
          <w:rFonts w:hint="eastAsia" w:ascii="仿宋_GB2312" w:eastAsia="仿宋_GB2312"/>
          <w:b w:val="0"/>
          <w:sz w:val="28"/>
          <w:szCs w:val="28"/>
        </w:rPr>
        <w:t>22</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"_Toc49976129" </w:instrText>
      </w:r>
      <w:r>
        <w:fldChar w:fldCharType="separate"/>
      </w:r>
      <w:r>
        <w:rPr>
          <w:rStyle w:val="33"/>
          <w:rFonts w:hint="eastAsia" w:ascii="仿宋_GB2312" w:hAnsi="黑体" w:eastAsia="仿宋_GB2312" w:cs="黑体"/>
          <w:b w:val="0"/>
          <w:sz w:val="28"/>
          <w:szCs w:val="28"/>
        </w:rPr>
        <w:t>附件2</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_Toc49976129 \h </w:instrText>
      </w:r>
      <w:r>
        <w:rPr>
          <w:rFonts w:hint="eastAsia" w:ascii="仿宋_GB2312" w:eastAsia="仿宋_GB2312"/>
          <w:b w:val="0"/>
          <w:sz w:val="28"/>
          <w:szCs w:val="28"/>
        </w:rPr>
        <w:fldChar w:fldCharType="separate"/>
      </w:r>
      <w:r>
        <w:rPr>
          <w:rFonts w:hint="eastAsia" w:ascii="仿宋_GB2312" w:eastAsia="仿宋_GB2312"/>
          <w:b w:val="0"/>
          <w:sz w:val="28"/>
          <w:szCs w:val="28"/>
        </w:rPr>
        <w:t>25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"_Toc49976130" </w:instrText>
      </w:r>
      <w:r>
        <w:fldChar w:fldCharType="separate"/>
      </w:r>
      <w:r>
        <w:rPr>
          <w:rStyle w:val="33"/>
          <w:rFonts w:hint="eastAsia" w:ascii="仿宋_GB2312" w:hAnsi="黑体" w:eastAsia="仿宋_GB2312"/>
          <w:b w:val="0"/>
          <w:i w:val="0"/>
          <w:sz w:val="28"/>
          <w:szCs w:val="28"/>
        </w:rPr>
        <w:t>第</w:t>
      </w:r>
      <w:r>
        <w:rPr>
          <w:rStyle w:val="33"/>
          <w:rFonts w:hint="eastAsia" w:ascii="仿宋_GB2312" w:hAnsi="黑体" w:eastAsia="仿宋_GB2312"/>
          <w:b w:val="0"/>
          <w:i w:val="0"/>
          <w:kern w:val="44"/>
          <w:sz w:val="28"/>
          <w:szCs w:val="28"/>
        </w:rPr>
        <w:t>五部分 附表</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_Toc49976130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27</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"_Toc49976131" </w:instrText>
      </w:r>
      <w:r>
        <w:fldChar w:fldCharType="separate"/>
      </w:r>
      <w:r>
        <w:rPr>
          <w:rStyle w:val="33"/>
          <w:rFonts w:hint="eastAsia" w:ascii="仿宋_GB2312" w:hAnsi="仿宋" w:eastAsia="仿宋_GB2312"/>
          <w:b w:val="0"/>
          <w:sz w:val="28"/>
          <w:szCs w:val="28"/>
        </w:rPr>
        <w:t>一、收入支出决算总表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_Toc49976131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"_Toc49976132" </w:instrText>
      </w:r>
      <w:r>
        <w:fldChar w:fldCharType="separate"/>
      </w:r>
      <w:r>
        <w:rPr>
          <w:rStyle w:val="33"/>
          <w:rFonts w:hint="eastAsia" w:ascii="仿宋_GB2312" w:hAnsi="仿宋" w:eastAsia="仿宋_GB2312"/>
          <w:b w:val="0"/>
          <w:sz w:val="28"/>
          <w:szCs w:val="28"/>
        </w:rPr>
        <w:t>二、收入决算表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_Toc49976132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"_Toc49976133" </w:instrText>
      </w:r>
      <w:r>
        <w:fldChar w:fldCharType="separate"/>
      </w:r>
      <w:r>
        <w:rPr>
          <w:rStyle w:val="33"/>
          <w:rFonts w:hint="eastAsia" w:ascii="仿宋_GB2312" w:hAnsi="仿宋" w:eastAsia="仿宋_GB2312"/>
          <w:b w:val="0"/>
          <w:sz w:val="28"/>
          <w:szCs w:val="28"/>
        </w:rPr>
        <w:t>三、支出决算表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_Toc49976133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"_Toc49976134" </w:instrText>
      </w:r>
      <w:r>
        <w:fldChar w:fldCharType="separate"/>
      </w:r>
      <w:r>
        <w:rPr>
          <w:rStyle w:val="33"/>
          <w:rFonts w:hint="eastAsia" w:ascii="仿宋_GB2312" w:hAnsi="仿宋" w:eastAsia="仿宋_GB2312"/>
          <w:b w:val="0"/>
          <w:sz w:val="28"/>
          <w:szCs w:val="28"/>
        </w:rPr>
        <w:t>四、财政拨款收入支出决算总表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_Toc49976134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"_Toc49976135" </w:instrText>
      </w:r>
      <w:r>
        <w:fldChar w:fldCharType="separate"/>
      </w:r>
      <w:r>
        <w:rPr>
          <w:rStyle w:val="33"/>
          <w:rFonts w:hint="eastAsia" w:ascii="仿宋_GB2312" w:hAnsi="仿宋" w:eastAsia="仿宋_GB2312"/>
          <w:b w:val="0"/>
          <w:sz w:val="28"/>
          <w:szCs w:val="28"/>
        </w:rPr>
        <w:t>五、财政拨款支出决算明细表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_Toc49976135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"_Toc49976136" </w:instrText>
      </w:r>
      <w:r>
        <w:fldChar w:fldCharType="separate"/>
      </w:r>
      <w:r>
        <w:rPr>
          <w:rStyle w:val="33"/>
          <w:rFonts w:hint="eastAsia" w:ascii="仿宋_GB2312" w:hAnsi="仿宋" w:eastAsia="仿宋_GB2312"/>
          <w:b w:val="0"/>
          <w:sz w:val="28"/>
          <w:szCs w:val="28"/>
        </w:rPr>
        <w:t>六、一般公共预算财政拨款支出决算表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_Toc49976136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"_Toc49976137" </w:instrText>
      </w:r>
      <w:r>
        <w:fldChar w:fldCharType="separate"/>
      </w:r>
      <w:r>
        <w:rPr>
          <w:rStyle w:val="33"/>
          <w:rFonts w:hint="eastAsia" w:ascii="仿宋_GB2312" w:hAnsi="仿宋" w:eastAsia="仿宋_GB2312"/>
          <w:b w:val="0"/>
          <w:sz w:val="28"/>
          <w:szCs w:val="28"/>
        </w:rPr>
        <w:t>七、一般公共预算财政拨款支出决算明细表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_Toc49976137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"_Toc49976138" </w:instrText>
      </w:r>
      <w:r>
        <w:fldChar w:fldCharType="separate"/>
      </w:r>
      <w:r>
        <w:rPr>
          <w:rStyle w:val="33"/>
          <w:rFonts w:hint="eastAsia" w:ascii="仿宋_GB2312" w:hAnsi="仿宋" w:eastAsia="仿宋_GB2312"/>
          <w:b w:val="0"/>
          <w:sz w:val="28"/>
          <w:szCs w:val="28"/>
        </w:rPr>
        <w:t>八、一般公共预算财政拨款基本支出决算表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_Toc49976138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"_Toc49976139" </w:instrText>
      </w:r>
      <w:r>
        <w:fldChar w:fldCharType="separate"/>
      </w:r>
      <w:r>
        <w:rPr>
          <w:rStyle w:val="33"/>
          <w:rFonts w:hint="eastAsia" w:ascii="仿宋_GB2312" w:hAnsi="仿宋" w:eastAsia="仿宋_GB2312"/>
          <w:b w:val="0"/>
          <w:sz w:val="28"/>
          <w:szCs w:val="28"/>
        </w:rPr>
        <w:t>九、一般公共预算财政拨款项目支出决算表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_Toc49976139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"_Toc49976140" </w:instrText>
      </w:r>
      <w:r>
        <w:fldChar w:fldCharType="separate"/>
      </w:r>
      <w:r>
        <w:rPr>
          <w:rStyle w:val="33"/>
          <w:rFonts w:hint="eastAsia" w:ascii="仿宋_GB2312" w:hAnsi="仿宋" w:eastAsia="仿宋_GB2312"/>
          <w:b w:val="0"/>
          <w:sz w:val="28"/>
          <w:szCs w:val="28"/>
        </w:rPr>
        <w:t>十、一般公共预算财政拨款“三公”经费支出决算表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_Toc49976140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"_Toc49976141" </w:instrText>
      </w:r>
      <w:r>
        <w:fldChar w:fldCharType="separate"/>
      </w:r>
      <w:r>
        <w:rPr>
          <w:rStyle w:val="33"/>
          <w:rFonts w:hint="eastAsia" w:ascii="仿宋_GB2312" w:hAnsi="仿宋" w:eastAsia="仿宋_GB2312"/>
          <w:b w:val="0"/>
          <w:sz w:val="28"/>
          <w:szCs w:val="28"/>
        </w:rPr>
        <w:t>十一、政府性基金预算财政拨款收入支出决算表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_Toc49976141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"_Toc49976142" </w:instrText>
      </w:r>
      <w:r>
        <w:fldChar w:fldCharType="separate"/>
      </w:r>
      <w:r>
        <w:rPr>
          <w:rStyle w:val="33"/>
          <w:rFonts w:hint="eastAsia" w:ascii="仿宋_GB2312" w:hAnsi="仿宋" w:eastAsia="仿宋_GB2312"/>
          <w:b w:val="0"/>
          <w:sz w:val="28"/>
          <w:szCs w:val="28"/>
        </w:rPr>
        <w:t>十二、政府性基金预算财政拨款“三公”经费支出决算表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_Toc49976142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hAnsi="等线"/>
          <w:b w:val="0"/>
          <w:bCs w:val="0"/>
          <w:sz w:val="21"/>
        </w:rPr>
      </w:pPr>
      <w:r>
        <w:fldChar w:fldCharType="begin"/>
      </w:r>
      <w:r>
        <w:instrText xml:space="preserve"> HYPERLINK \l "_Toc49976143" </w:instrText>
      </w:r>
      <w:r>
        <w:fldChar w:fldCharType="separate"/>
      </w:r>
      <w:r>
        <w:rPr>
          <w:rStyle w:val="33"/>
          <w:rFonts w:hint="eastAsia" w:ascii="仿宋_GB2312" w:hAnsi="仿宋" w:eastAsia="仿宋_GB2312"/>
          <w:b w:val="0"/>
          <w:sz w:val="28"/>
          <w:szCs w:val="28"/>
        </w:rPr>
        <w:t>十三、国有资本经营预算支出决算表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_Toc49976143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spacing w:line="500" w:lineRule="exact"/>
        <w:ind w:firstLine="2100" w:firstLineChars="750"/>
        <w:rPr>
          <w:rFonts w:ascii="仿宋_GB2312" w:hAnsi="仿宋"/>
          <w:color w:val="FF0000"/>
          <w:szCs w:val="32"/>
        </w:rPr>
      </w:pPr>
      <w:r>
        <w:rPr>
          <w:rFonts w:ascii="等线 Light" w:eastAsia="等线 Light"/>
          <w:i/>
          <w:iCs/>
          <w:caps/>
          <w:sz w:val="28"/>
          <w:szCs w:val="28"/>
        </w:rPr>
        <w:fldChar w:fldCharType="end"/>
      </w:r>
    </w:p>
    <w:p>
      <w:pPr>
        <w:widowControl/>
        <w:spacing w:line="580" w:lineRule="exact"/>
        <w:jc w:val="center"/>
        <w:rPr>
          <w:rStyle w:val="50"/>
          <w:rFonts w:ascii="黑体" w:hAnsi="黑体" w:eastAsia="黑体"/>
          <w:b w:val="0"/>
        </w:rPr>
      </w:pPr>
      <w:bookmarkStart w:id="0" w:name="_Toc15396599"/>
      <w:bookmarkStart w:id="1" w:name="_Toc15377196"/>
      <w:r>
        <w:rPr>
          <w:rFonts w:ascii="仿宋" w:hAnsi="仿宋" w:eastAsia="仿宋"/>
          <w:b/>
          <w:sz w:val="24"/>
        </w:rPr>
        <w:br w:type="page"/>
      </w:r>
      <w:bookmarkStart w:id="2" w:name="_Toc49975925"/>
      <w:bookmarkStart w:id="3" w:name="_Toc49976112"/>
      <w:r>
        <w:rPr>
          <w:rFonts w:hint="eastAsia" w:ascii="黑体" w:hAnsi="黑体" w:eastAsia="黑体"/>
          <w:b/>
          <w:sz w:val="44"/>
          <w:szCs w:val="44"/>
        </w:rPr>
        <w:t xml:space="preserve">第一部分 </w:t>
      </w:r>
      <w:r>
        <w:rPr>
          <w:rStyle w:val="50"/>
          <w:rFonts w:hint="eastAsia" w:ascii="黑体" w:hAnsi="黑体" w:eastAsia="黑体"/>
        </w:rPr>
        <w:t>部门概况</w:t>
      </w:r>
      <w:bookmarkEnd w:id="0"/>
      <w:bookmarkEnd w:id="1"/>
      <w:bookmarkEnd w:id="2"/>
      <w:bookmarkEnd w:id="3"/>
    </w:p>
    <w:p>
      <w:pPr>
        <w:widowControl/>
        <w:jc w:val="left"/>
        <w:rPr>
          <w:rFonts w:ascii="黑体" w:eastAsia="黑体"/>
          <w:color w:val="000000"/>
          <w:szCs w:val="32"/>
        </w:rPr>
      </w:pPr>
    </w:p>
    <w:p>
      <w:pPr>
        <w:pStyle w:val="4"/>
        <w:rPr>
          <w:rStyle w:val="51"/>
          <w:rFonts w:ascii="仿宋" w:hAnsi="仿宋" w:eastAsia="仿宋"/>
          <w:b w:val="0"/>
          <w:bCs w:val="0"/>
        </w:rPr>
      </w:pPr>
      <w:bookmarkStart w:id="4" w:name="_Toc15377197"/>
      <w:bookmarkStart w:id="5" w:name="_Toc49976113"/>
      <w:bookmarkStart w:id="6" w:name="_Toc49975926"/>
      <w:bookmarkStart w:id="7" w:name="_Toc15396600"/>
      <w:r>
        <w:rPr>
          <w:rFonts w:hint="eastAsia" w:ascii="黑体" w:hAnsi="黑体" w:eastAsia="黑体"/>
          <w:b w:val="0"/>
          <w:color w:val="000000"/>
        </w:rPr>
        <w:t>一、基</w:t>
      </w:r>
      <w:r>
        <w:rPr>
          <w:rStyle w:val="51"/>
          <w:rFonts w:hint="eastAsia" w:ascii="黑体" w:hAnsi="黑体" w:eastAsia="黑体"/>
          <w:b w:val="0"/>
          <w:bCs w:val="0"/>
        </w:rPr>
        <w:t>本职能及主要工作</w:t>
      </w:r>
      <w:bookmarkEnd w:id="4"/>
      <w:bookmarkEnd w:id="5"/>
      <w:bookmarkEnd w:id="6"/>
      <w:bookmarkEnd w:id="7"/>
    </w:p>
    <w:p>
      <w:pPr>
        <w:pStyle w:val="7"/>
        <w:adjustRightInd w:val="0"/>
        <w:snapToGrid w:val="0"/>
        <w:spacing w:before="93" w:line="600" w:lineRule="exact"/>
        <w:ind w:firstLine="640" w:firstLineChars="200"/>
        <w:jc w:val="both"/>
        <w:outlineLvl w:val="2"/>
        <w:rPr>
          <w:rFonts w:ascii="仿宋" w:hAnsi="仿宋" w:eastAsia="仿宋"/>
          <w:bCs/>
          <w:color w:val="000000"/>
          <w:sz w:val="32"/>
          <w:szCs w:val="32"/>
        </w:rPr>
      </w:pPr>
      <w:bookmarkStart w:id="8" w:name="_Toc15378445"/>
      <w:bookmarkStart w:id="9" w:name="_Toc15377198"/>
      <w:r>
        <w:rPr>
          <w:rFonts w:hint="eastAsia" w:ascii="仿宋" w:hAnsi="仿宋" w:eastAsia="仿宋"/>
          <w:bCs/>
          <w:color w:val="000000"/>
          <w:sz w:val="32"/>
          <w:szCs w:val="32"/>
        </w:rPr>
        <w:t>（一）主要职能。</w:t>
      </w:r>
      <w:bookmarkEnd w:id="8"/>
      <w:bookmarkEnd w:id="9"/>
    </w:p>
    <w:p>
      <w:pPr>
        <w:numPr>
          <w:ilvl w:val="0"/>
          <w:numId w:val="0"/>
        </w:numPr>
        <w:jc w:val="both"/>
        <w:rPr>
          <w:rFonts w:hint="eastAsia" w:ascii="仿宋_GB2312" w:hAnsi="仿宋_GB2312" w:eastAsia="仿宋_GB2312" w:cs="仿宋_GB2312"/>
          <w:b w:val="0"/>
          <w:bCs w:val="0"/>
          <w:sz w:val="32"/>
          <w:szCs w:val="32"/>
          <w:lang w:val="en-US" w:eastAsia="zh-CN"/>
        </w:rPr>
      </w:pPr>
      <w:bookmarkStart w:id="10" w:name="_Toc15378446"/>
      <w:bookmarkStart w:id="11" w:name="_Toc15377199"/>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负责制定全市法学会研究规划、计划，并组织实施。</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参与法制宣传和法学教育，培养法学、法律人才。</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为党委政府行使职能提供法律咨询方面的支持保障。</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负责对法学会会员的管理。</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承办上级主管部门交办的其他事项。</w:t>
      </w:r>
    </w:p>
    <w:p>
      <w:pPr>
        <w:pStyle w:val="7"/>
        <w:adjustRightInd w:val="0"/>
        <w:snapToGrid w:val="0"/>
        <w:spacing w:before="93" w:line="600" w:lineRule="exact"/>
        <w:ind w:firstLine="672" w:firstLineChars="210"/>
        <w:jc w:val="both"/>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0"/>
      <w:bookmarkEnd w:id="11"/>
    </w:p>
    <w:p>
      <w:pPr>
        <w:numPr>
          <w:ilvl w:val="0"/>
          <w:numId w:val="0"/>
        </w:numPr>
        <w:ind w:leftChars="0" w:firstLine="640" w:firstLineChars="200"/>
        <w:jc w:val="both"/>
        <w:rPr>
          <w:rFonts w:hint="eastAsia" w:ascii="仿宋_GB2312" w:hAnsi="仿宋_GB2312" w:eastAsia="仿宋_GB2312" w:cs="仿宋_GB2312"/>
          <w:b w:val="0"/>
          <w:bCs/>
          <w:sz w:val="32"/>
          <w:szCs w:val="32"/>
          <w:lang w:val="en-US" w:eastAsia="zh-CN"/>
        </w:rPr>
      </w:pPr>
      <w:bookmarkStart w:id="12" w:name="_Toc15377200"/>
      <w:bookmarkStart w:id="13" w:name="_Toc15396601"/>
      <w:bookmarkStart w:id="14" w:name="_Toc49976114"/>
      <w:bookmarkStart w:id="15" w:name="_Toc49975927"/>
      <w:r>
        <w:rPr>
          <w:rFonts w:hint="eastAsia" w:ascii="仿宋_GB2312" w:hAnsi="仿宋_GB2312" w:eastAsia="仿宋_GB2312" w:cs="仿宋_GB2312"/>
          <w:b w:val="0"/>
          <w:bCs/>
          <w:sz w:val="32"/>
          <w:szCs w:val="32"/>
          <w:lang w:eastAsia="zh-CN"/>
        </w:rPr>
        <w:t>认真学习贯彻十九届五中全会精神和</w:t>
      </w:r>
      <w:r>
        <w:rPr>
          <w:rFonts w:hint="eastAsia" w:ascii="仿宋_GB2312" w:hAnsi="仿宋_GB2312" w:eastAsia="仿宋_GB2312" w:cs="仿宋_GB2312"/>
          <w:b w:val="0"/>
          <w:bCs/>
          <w:sz w:val="32"/>
          <w:szCs w:val="32"/>
        </w:rPr>
        <w:t>中办文件</w:t>
      </w:r>
      <w:r>
        <w:rPr>
          <w:rFonts w:hint="eastAsia" w:ascii="仿宋_GB2312" w:hAnsi="仿宋_GB2312" w:eastAsia="仿宋_GB2312" w:cs="仿宋_GB2312"/>
          <w:b w:val="0"/>
          <w:bCs/>
          <w:sz w:val="32"/>
          <w:szCs w:val="32"/>
          <w:lang w:eastAsia="zh-CN"/>
        </w:rPr>
        <w:t>要求，服务“十四五”规划发展目标，</w:t>
      </w:r>
      <w:r>
        <w:rPr>
          <w:rFonts w:hint="eastAsia" w:ascii="仿宋_GB2312" w:hAnsi="仿宋_GB2312" w:eastAsia="仿宋_GB2312" w:cs="仿宋_GB2312"/>
          <w:b w:val="0"/>
          <w:bCs/>
          <w:sz w:val="32"/>
          <w:szCs w:val="32"/>
        </w:rPr>
        <w:t>全力实施法治人才培养行动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组织开展“自贡市十大中青年法学人才”评选活动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打造“法检+学校+社区”三位一体的法治教育实践基地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持续组织繁荣法学研究行动</w:t>
      </w:r>
      <w:r>
        <w:rPr>
          <w:rFonts w:hint="eastAsia" w:ascii="仿宋_GB2312" w:hAnsi="仿宋_GB2312" w:eastAsia="仿宋_GB2312" w:cs="仿宋_GB2312"/>
          <w:b w:val="0"/>
          <w:bCs/>
          <w:sz w:val="32"/>
          <w:szCs w:val="32"/>
          <w:lang w:eastAsia="zh-CN"/>
        </w:rPr>
        <w:t>，加强</w:t>
      </w:r>
      <w:r>
        <w:rPr>
          <w:rFonts w:hint="eastAsia" w:ascii="仿宋_GB2312" w:hAnsi="仿宋_GB2312" w:eastAsia="仿宋_GB2312" w:cs="仿宋_GB2312"/>
          <w:b w:val="0"/>
          <w:bCs/>
          <w:sz w:val="32"/>
          <w:szCs w:val="32"/>
        </w:rPr>
        <w:t>课题</w:t>
      </w:r>
      <w:r>
        <w:rPr>
          <w:rFonts w:hint="eastAsia" w:ascii="仿宋_GB2312" w:hAnsi="仿宋_GB2312" w:eastAsia="仿宋_GB2312" w:cs="仿宋_GB2312"/>
          <w:b w:val="0"/>
          <w:bCs/>
          <w:sz w:val="32"/>
          <w:szCs w:val="32"/>
          <w:lang w:eastAsia="zh-CN"/>
        </w:rPr>
        <w:t>研究、论坛交流、成果转化；</w:t>
      </w:r>
      <w:r>
        <w:rPr>
          <w:rFonts w:hint="eastAsia" w:ascii="仿宋_GB2312" w:hAnsi="仿宋_GB2312" w:eastAsia="仿宋_GB2312" w:cs="仿宋_GB2312"/>
          <w:b w:val="0"/>
          <w:bCs/>
          <w:sz w:val="32"/>
          <w:szCs w:val="32"/>
        </w:rPr>
        <w:t>重点开展法治服务实践行动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全面推进“双百”和“基层行”系列活动，推进法学会之家和“三级法律服务平台”规范化建设，推广“三级平安微信群”，打造“一县一品N特色”，开展“法律服务七进”活动，</w:t>
      </w:r>
      <w:r>
        <w:rPr>
          <w:rFonts w:hint="eastAsia" w:ascii="仿宋_GB2312" w:hAnsi="仿宋_GB2312" w:eastAsia="仿宋_GB2312" w:cs="仿宋_GB2312"/>
          <w:b w:val="0"/>
          <w:bCs/>
          <w:sz w:val="32"/>
          <w:szCs w:val="32"/>
          <w:lang w:val="en-US" w:eastAsia="zh-CN"/>
        </w:rPr>
        <w:t>完善决策咨询立法论证、执法监督、法治评估等机制，</w:t>
      </w:r>
      <w:r>
        <w:rPr>
          <w:rFonts w:hint="eastAsia" w:ascii="仿宋_GB2312" w:hAnsi="仿宋_GB2312" w:eastAsia="仿宋_GB2312" w:cs="仿宋_GB2312"/>
          <w:b w:val="0"/>
          <w:bCs/>
          <w:sz w:val="32"/>
          <w:szCs w:val="32"/>
        </w:rPr>
        <w:t>持续优化营商环境</w:t>
      </w:r>
      <w:r>
        <w:rPr>
          <w:rFonts w:hint="eastAsia" w:ascii="仿宋_GB2312" w:hAnsi="仿宋_GB2312" w:eastAsia="仿宋_GB2312" w:cs="仿宋_GB2312"/>
          <w:b w:val="0"/>
          <w:bCs/>
          <w:sz w:val="32"/>
          <w:szCs w:val="32"/>
          <w:lang w:eastAsia="zh-CN"/>
        </w:rPr>
        <w:t>；强化法治宣传，</w:t>
      </w:r>
      <w:r>
        <w:rPr>
          <w:rFonts w:hint="eastAsia" w:ascii="仿宋_GB2312" w:hAnsi="仿宋_GB2312" w:eastAsia="仿宋_GB2312" w:cs="仿宋_GB2312"/>
          <w:b w:val="0"/>
          <w:bCs/>
          <w:sz w:val="32"/>
          <w:szCs w:val="32"/>
        </w:rPr>
        <w:t>办好《自贡政法》期刊及大型普法栏目《百姓看法》</w:t>
      </w:r>
      <w:r>
        <w:rPr>
          <w:rFonts w:hint="eastAsia" w:ascii="仿宋_GB2312" w:hAnsi="仿宋_GB2312" w:eastAsia="仿宋_GB2312" w:cs="仿宋_GB2312"/>
          <w:b w:val="0"/>
          <w:bCs/>
          <w:sz w:val="32"/>
          <w:szCs w:val="32"/>
          <w:lang w:eastAsia="zh-CN"/>
        </w:rPr>
        <w:t>，提高法学会影响力。</w:t>
      </w:r>
    </w:p>
    <w:p>
      <w:pPr>
        <w:pStyle w:val="4"/>
        <w:rPr>
          <w:rStyle w:val="51"/>
          <w:b w:val="0"/>
          <w:bCs w:val="0"/>
        </w:rPr>
      </w:pPr>
      <w:r>
        <w:rPr>
          <w:rFonts w:hint="eastAsia" w:ascii="黑体" w:eastAsia="黑体"/>
          <w:b w:val="0"/>
          <w:color w:val="000000"/>
        </w:rPr>
        <w:t>二、</w:t>
      </w:r>
      <w:r>
        <w:rPr>
          <w:rFonts w:hint="eastAsia" w:ascii="黑体" w:hAnsi="黑体" w:eastAsia="黑体"/>
          <w:b w:val="0"/>
          <w:color w:val="000000"/>
        </w:rPr>
        <w:t>机</w:t>
      </w:r>
      <w:r>
        <w:rPr>
          <w:rStyle w:val="51"/>
          <w:rFonts w:hint="eastAsia" w:ascii="黑体" w:hAnsi="黑体" w:eastAsia="黑体"/>
          <w:b w:val="0"/>
          <w:bCs w:val="0"/>
        </w:rPr>
        <w:t>构设置</w:t>
      </w:r>
      <w:bookmarkEnd w:id="12"/>
      <w:bookmarkEnd w:id="13"/>
      <w:bookmarkEnd w:id="14"/>
      <w:bookmarkEnd w:id="15"/>
    </w:p>
    <w:p>
      <w:pPr>
        <w:ind w:firstLine="800" w:firstLineChars="250"/>
        <w:rPr>
          <w:rFonts w:ascii="仿宋" w:hAnsi="仿宋" w:eastAsia="仿宋"/>
          <w:szCs w:val="32"/>
        </w:rPr>
      </w:pPr>
      <w:r>
        <w:rPr>
          <w:rFonts w:hint="eastAsia" w:ascii="仿宋" w:hAnsi="仿宋" w:eastAsia="仿宋"/>
          <w:szCs w:val="32"/>
        </w:rPr>
        <w:t>中共市委政法委员会下属二级单位1个，其中行政单位0个，参照公务员法管理的事业单位</w:t>
      </w:r>
      <w:r>
        <w:rPr>
          <w:rFonts w:hint="eastAsia" w:ascii="仿宋" w:hAnsi="仿宋" w:eastAsia="仿宋"/>
          <w:bCs/>
          <w:szCs w:val="32"/>
        </w:rPr>
        <w:t>0</w:t>
      </w:r>
      <w:r>
        <w:rPr>
          <w:rFonts w:hint="eastAsia" w:ascii="仿宋" w:hAnsi="仿宋" w:eastAsia="仿宋"/>
          <w:szCs w:val="32"/>
        </w:rPr>
        <w:t>个，其他事业单位1个。</w:t>
      </w:r>
    </w:p>
    <w:p>
      <w:pPr>
        <w:pStyle w:val="7"/>
        <w:adjustRightInd w:val="0"/>
        <w:snapToGrid w:val="0"/>
        <w:spacing w:before="93" w:line="600" w:lineRule="exact"/>
        <w:ind w:firstLine="672" w:firstLineChars="210"/>
        <w:jc w:val="left"/>
        <w:rPr>
          <w:rFonts w:ascii="仿宋" w:hAnsi="仿宋" w:eastAsia="仿宋"/>
          <w:color w:val="000000"/>
          <w:sz w:val="32"/>
          <w:szCs w:val="32"/>
        </w:rPr>
      </w:pPr>
      <w:r>
        <w:rPr>
          <w:rFonts w:hint="eastAsia" w:ascii="仿宋" w:hAnsi="仿宋" w:eastAsia="仿宋"/>
          <w:color w:val="000000"/>
          <w:sz w:val="32"/>
          <w:szCs w:val="32"/>
        </w:rPr>
        <w:t>纳入中共市委政法委员会2020年度部门决算编制范围的二级预算单位包括：自贡市法学会。</w:t>
      </w:r>
    </w:p>
    <w:p>
      <w:pPr>
        <w:widowControl/>
        <w:jc w:val="center"/>
        <w:rPr>
          <w:rStyle w:val="50"/>
          <w:rFonts w:ascii="黑体" w:hAnsi="黑体" w:eastAsia="黑体"/>
        </w:rPr>
      </w:pPr>
      <w:r>
        <w:rPr>
          <w:rFonts w:ascii="仿宋" w:hAnsi="仿宋" w:eastAsia="仿宋"/>
          <w:color w:val="000000"/>
          <w:szCs w:val="32"/>
        </w:rPr>
        <w:br w:type="page"/>
      </w:r>
      <w:bookmarkStart w:id="16" w:name="_Toc49976115"/>
      <w:bookmarkStart w:id="17" w:name="_Toc15396602"/>
      <w:bookmarkStart w:id="18" w:name="_Toc49975928"/>
      <w:bookmarkStart w:id="19" w:name="_Toc15377204"/>
      <w:r>
        <w:rPr>
          <w:rFonts w:hint="eastAsia" w:ascii="黑体" w:hAnsi="黑体" w:eastAsia="黑体"/>
          <w:b/>
          <w:color w:val="000000"/>
          <w:sz w:val="44"/>
          <w:szCs w:val="44"/>
        </w:rPr>
        <w:t>第二部分</w:t>
      </w:r>
      <w:r>
        <w:rPr>
          <w:rFonts w:hint="eastAsia" w:ascii="黑体" w:hAnsi="黑体" w:eastAsia="黑体"/>
          <w:color w:val="000000"/>
          <w:sz w:val="44"/>
          <w:szCs w:val="44"/>
        </w:rPr>
        <w:t xml:space="preserve"> </w:t>
      </w:r>
      <w:r>
        <w:rPr>
          <w:rStyle w:val="50"/>
          <w:rFonts w:hint="eastAsia" w:ascii="黑体" w:hAnsi="黑体" w:eastAsia="黑体"/>
        </w:rPr>
        <w:t>2020年度部门决算情况说明</w:t>
      </w:r>
      <w:bookmarkEnd w:id="16"/>
      <w:bookmarkEnd w:id="17"/>
      <w:bookmarkEnd w:id="18"/>
      <w:bookmarkEnd w:id="19"/>
    </w:p>
    <w:p/>
    <w:p>
      <w:pPr>
        <w:pStyle w:val="56"/>
        <w:numPr>
          <w:ilvl w:val="0"/>
          <w:numId w:val="1"/>
        </w:numPr>
        <w:spacing w:line="560" w:lineRule="exact"/>
        <w:ind w:firstLineChars="0"/>
        <w:outlineLvl w:val="1"/>
        <w:rPr>
          <w:rStyle w:val="51"/>
          <w:rFonts w:ascii="黑体" w:hAnsi="黑体" w:eastAsia="黑体"/>
          <w:b w:val="0"/>
        </w:rPr>
      </w:pPr>
      <w:bookmarkStart w:id="20" w:name="_Toc49975929"/>
      <w:bookmarkStart w:id="21" w:name="_Toc15377205"/>
      <w:bookmarkStart w:id="22" w:name="_Toc15396603"/>
      <w:bookmarkStart w:id="23" w:name="_Toc49976116"/>
      <w:r>
        <w:rPr>
          <w:rStyle w:val="51"/>
          <w:rFonts w:hint="eastAsia" w:ascii="黑体" w:hAnsi="黑体" w:eastAsia="黑体"/>
        </w:rPr>
        <w:t>收入支出决算总体情况说明</w:t>
      </w:r>
      <w:bookmarkEnd w:id="20"/>
      <w:bookmarkEnd w:id="21"/>
      <w:bookmarkEnd w:id="22"/>
      <w:bookmarkEnd w:id="23"/>
    </w:p>
    <w:p>
      <w:pPr>
        <w:spacing w:line="560" w:lineRule="exact"/>
        <w:ind w:firstLine="640" w:firstLineChars="200"/>
        <w:rPr>
          <w:rFonts w:ascii="仿宋" w:hAnsi="仿宋"/>
          <w:color w:val="000000"/>
          <w:szCs w:val="32"/>
        </w:rPr>
      </w:pPr>
      <w:r>
        <w:rPr>
          <w:rFonts w:ascii="仿宋" w:hAnsi="仿宋" w:eastAsia="仿宋"/>
          <w:color w:val="000000"/>
          <w:szCs w:val="32"/>
        </w:rPr>
        <w:drawing>
          <wp:anchor distT="0" distB="0" distL="114300" distR="114300" simplePos="0" relativeHeight="251659264" behindDoc="0" locked="0" layoutInCell="1" allowOverlap="1">
            <wp:simplePos x="0" y="0"/>
            <wp:positionH relativeFrom="column">
              <wp:posOffset>1061720</wp:posOffset>
            </wp:positionH>
            <wp:positionV relativeFrom="paragraph">
              <wp:posOffset>1125855</wp:posOffset>
            </wp:positionV>
            <wp:extent cx="3136265" cy="1887220"/>
            <wp:effectExtent l="0" t="0" r="698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36265" cy="1887220"/>
                    </a:xfrm>
                    <a:prstGeom prst="rect">
                      <a:avLst/>
                    </a:prstGeom>
                    <a:noFill/>
                    <a:ln>
                      <a:noFill/>
                    </a:ln>
                  </pic:spPr>
                </pic:pic>
              </a:graphicData>
            </a:graphic>
          </wp:anchor>
        </w:drawing>
      </w:r>
      <w:r>
        <w:rPr>
          <w:rFonts w:hint="eastAsia" w:ascii="仿宋" w:hAnsi="仿宋" w:eastAsia="仿宋"/>
          <w:color w:val="000000"/>
          <w:szCs w:val="32"/>
        </w:rPr>
        <w:t>2020年度收、支总计</w:t>
      </w:r>
      <w:r>
        <w:rPr>
          <w:rFonts w:hint="eastAsia" w:ascii="仿宋" w:hAnsi="仿宋" w:eastAsia="仿宋"/>
          <w:color w:val="000000"/>
          <w:szCs w:val="32"/>
          <w:lang w:val="en-US" w:eastAsia="zh-CN"/>
        </w:rPr>
        <w:t>98.8</w:t>
      </w:r>
      <w:r>
        <w:rPr>
          <w:rFonts w:hint="eastAsia" w:ascii="仿宋" w:hAnsi="仿宋" w:eastAsia="仿宋"/>
          <w:color w:val="000000"/>
          <w:szCs w:val="32"/>
        </w:rPr>
        <w:t>万元。与2019年相比，收、支总计各</w:t>
      </w:r>
      <w:r>
        <w:rPr>
          <w:rFonts w:hint="eastAsia" w:ascii="仿宋" w:hAnsi="仿宋" w:eastAsia="仿宋"/>
          <w:szCs w:val="32"/>
        </w:rPr>
        <w:t>增加</w:t>
      </w:r>
      <w:r>
        <w:rPr>
          <w:rFonts w:hint="eastAsia" w:ascii="仿宋" w:hAnsi="仿宋" w:eastAsia="仿宋"/>
          <w:szCs w:val="32"/>
          <w:lang w:val="en-US" w:eastAsia="zh-CN"/>
        </w:rPr>
        <w:t>8</w:t>
      </w:r>
      <w:r>
        <w:rPr>
          <w:rFonts w:hint="eastAsia" w:ascii="仿宋" w:hAnsi="仿宋" w:eastAsia="仿宋"/>
          <w:color w:val="000000"/>
          <w:szCs w:val="32"/>
        </w:rPr>
        <w:t>万元，增长</w:t>
      </w:r>
      <w:r>
        <w:rPr>
          <w:rFonts w:hint="eastAsia" w:ascii="仿宋" w:hAnsi="仿宋" w:eastAsia="仿宋"/>
          <w:color w:val="000000"/>
          <w:szCs w:val="32"/>
          <w:lang w:val="en-US" w:eastAsia="zh-CN"/>
        </w:rPr>
        <w:t>8.8</w:t>
      </w:r>
      <w:r>
        <w:rPr>
          <w:rFonts w:hint="eastAsia" w:ascii="仿宋" w:hAnsi="仿宋" w:eastAsia="仿宋"/>
          <w:color w:val="000000"/>
          <w:szCs w:val="32"/>
        </w:rPr>
        <w:t>%。主要变动原因是</w:t>
      </w:r>
      <w:r>
        <w:rPr>
          <w:rFonts w:hint="eastAsia" w:ascii="仿宋_GB2312" w:hAnsi="仿宋"/>
          <w:szCs w:val="32"/>
        </w:rPr>
        <w:t>年中有新增地方财政配套资金。</w:t>
      </w:r>
    </w:p>
    <w:p>
      <w:pPr>
        <w:pStyle w:val="56"/>
        <w:numPr>
          <w:ilvl w:val="0"/>
          <w:numId w:val="1"/>
        </w:numPr>
        <w:spacing w:line="560" w:lineRule="exact"/>
        <w:ind w:firstLineChars="0"/>
        <w:outlineLvl w:val="1"/>
        <w:rPr>
          <w:rStyle w:val="51"/>
          <w:rFonts w:ascii="黑体" w:hAnsi="黑体" w:eastAsia="黑体"/>
          <w:b w:val="0"/>
        </w:rPr>
      </w:pPr>
      <w:bookmarkStart w:id="24" w:name="_Toc15377206"/>
      <w:bookmarkStart w:id="25" w:name="_Toc15396604"/>
      <w:bookmarkStart w:id="26" w:name="_Toc49975930"/>
      <w:bookmarkStart w:id="27" w:name="_Toc49976117"/>
      <w:r>
        <w:rPr>
          <w:rFonts w:hint="eastAsia" w:ascii="黑体" w:hAnsi="黑体" w:eastAsia="黑体"/>
          <w:color w:val="000000"/>
          <w:sz w:val="32"/>
          <w:szCs w:val="32"/>
        </w:rPr>
        <w:t>收</w:t>
      </w:r>
      <w:r>
        <w:rPr>
          <w:rStyle w:val="51"/>
          <w:rFonts w:hint="eastAsia" w:ascii="黑体" w:hAnsi="黑体" w:eastAsia="黑体"/>
        </w:rPr>
        <w:t>入决算情况说明</w:t>
      </w:r>
      <w:bookmarkEnd w:id="24"/>
      <w:bookmarkEnd w:id="25"/>
      <w:bookmarkEnd w:id="26"/>
      <w:bookmarkEnd w:id="27"/>
    </w:p>
    <w:p>
      <w:pPr>
        <w:spacing w:line="560" w:lineRule="exact"/>
        <w:ind w:firstLine="640" w:firstLineChars="20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944245</wp:posOffset>
            </wp:positionH>
            <wp:positionV relativeFrom="paragraph">
              <wp:posOffset>2188845</wp:posOffset>
            </wp:positionV>
            <wp:extent cx="3380105" cy="2030730"/>
            <wp:effectExtent l="0" t="0" r="0" b="762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20年本年收入合计</w:t>
      </w:r>
      <w:r>
        <w:rPr>
          <w:rFonts w:hint="eastAsia" w:ascii="仿宋" w:hAnsi="仿宋" w:eastAsia="仿宋"/>
          <w:color w:val="000000"/>
          <w:szCs w:val="32"/>
          <w:lang w:val="en-US" w:eastAsia="zh-CN"/>
        </w:rPr>
        <w:t>98.8</w:t>
      </w:r>
      <w:r>
        <w:rPr>
          <w:rFonts w:hint="eastAsia" w:ascii="仿宋" w:hAnsi="仿宋" w:eastAsia="仿宋"/>
          <w:color w:val="000000"/>
          <w:szCs w:val="32"/>
        </w:rPr>
        <w:t>万元，其中：一般公共预算财政拨款收入</w:t>
      </w:r>
      <w:r>
        <w:rPr>
          <w:rFonts w:hint="eastAsia" w:ascii="仿宋" w:hAnsi="仿宋" w:eastAsia="仿宋"/>
          <w:color w:val="000000"/>
          <w:szCs w:val="32"/>
          <w:lang w:val="en-US" w:eastAsia="zh-CN"/>
        </w:rPr>
        <w:t>98.8</w:t>
      </w:r>
      <w:r>
        <w:rPr>
          <w:rFonts w:hint="eastAsia" w:ascii="仿宋" w:hAnsi="仿宋" w:eastAsia="仿宋"/>
          <w:color w:val="000000"/>
          <w:szCs w:val="32"/>
        </w:rPr>
        <w:t>万元，占</w:t>
      </w:r>
      <w:r>
        <w:rPr>
          <w:rFonts w:hint="eastAsia" w:ascii="仿宋" w:hAnsi="仿宋" w:eastAsia="仿宋"/>
          <w:color w:val="000000"/>
          <w:szCs w:val="32"/>
          <w:lang w:val="en-US" w:eastAsia="zh-CN"/>
        </w:rPr>
        <w:t>100</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0</w:t>
      </w:r>
      <w:r>
        <w:rPr>
          <w:rFonts w:hint="eastAsia" w:ascii="仿宋" w:hAnsi="仿宋" w:eastAsia="仿宋"/>
          <w:color w:val="000000"/>
          <w:szCs w:val="32"/>
        </w:rPr>
        <w:t>万元，占</w:t>
      </w:r>
      <w:r>
        <w:rPr>
          <w:rFonts w:hint="eastAsia" w:ascii="仿宋" w:hAnsi="仿宋" w:eastAsia="仿宋"/>
          <w:color w:val="000000"/>
          <w:szCs w:val="32"/>
          <w:lang w:val="en-US" w:eastAsia="zh-CN"/>
        </w:rPr>
        <w:t>0</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56"/>
        <w:numPr>
          <w:ilvl w:val="0"/>
          <w:numId w:val="1"/>
        </w:numPr>
        <w:spacing w:line="560" w:lineRule="exact"/>
        <w:ind w:firstLineChars="0"/>
        <w:outlineLvl w:val="1"/>
        <w:rPr>
          <w:rStyle w:val="51"/>
          <w:rFonts w:ascii="黑体" w:hAnsi="黑体" w:eastAsia="黑体"/>
          <w:b w:val="0"/>
        </w:rPr>
      </w:pPr>
      <w:bookmarkStart w:id="28" w:name="_Toc15396605"/>
      <w:bookmarkStart w:id="29" w:name="_Toc15377207"/>
      <w:bookmarkStart w:id="30" w:name="_Toc49975931"/>
      <w:bookmarkStart w:id="31" w:name="_Toc49976118"/>
      <w:r>
        <w:rPr>
          <w:rStyle w:val="51"/>
          <w:rFonts w:hint="eastAsia" w:ascii="黑体" w:hAnsi="黑体" w:eastAsia="黑体"/>
        </w:rPr>
        <w:t>支出决算情况说明</w:t>
      </w:r>
      <w:bookmarkEnd w:id="28"/>
      <w:bookmarkEnd w:id="29"/>
      <w:bookmarkEnd w:id="30"/>
      <w:bookmarkEnd w:id="31"/>
    </w:p>
    <w:p>
      <w:pPr>
        <w:spacing w:line="600" w:lineRule="exact"/>
        <w:ind w:firstLine="640"/>
        <w:rPr>
          <w:rFonts w:ascii="仿宋" w:hAnsi="仿宋" w:eastAsia="仿宋"/>
          <w:color w:val="000000"/>
          <w:szCs w:val="32"/>
        </w:rPr>
      </w:pPr>
      <w:r>
        <w:rPr>
          <w:rFonts w:ascii="仿宋_GB2312" w:hAnsi="仿宋"/>
          <w:color w:val="000000"/>
          <w:szCs w:val="32"/>
        </w:rPr>
        <w:drawing>
          <wp:anchor distT="0" distB="0" distL="114300" distR="114300" simplePos="0" relativeHeight="251663360" behindDoc="0" locked="0" layoutInCell="1" allowOverlap="1">
            <wp:simplePos x="0" y="0"/>
            <wp:positionH relativeFrom="column">
              <wp:posOffset>1211580</wp:posOffset>
            </wp:positionH>
            <wp:positionV relativeFrom="paragraph">
              <wp:posOffset>1969770</wp:posOffset>
            </wp:positionV>
            <wp:extent cx="2983865" cy="1793875"/>
            <wp:effectExtent l="0" t="0" r="6985"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83865" cy="1793875"/>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20年本年支出合计</w:t>
      </w:r>
      <w:r>
        <w:rPr>
          <w:rFonts w:hint="eastAsia" w:ascii="仿宋" w:hAnsi="仿宋" w:eastAsia="仿宋"/>
          <w:color w:val="000000"/>
          <w:szCs w:val="32"/>
          <w:lang w:val="en-US" w:eastAsia="zh-CN"/>
        </w:rPr>
        <w:t>98.8</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90.81</w:t>
      </w:r>
      <w:r>
        <w:rPr>
          <w:rFonts w:hint="eastAsia" w:ascii="仿宋_GB2312" w:hAnsi="仿宋"/>
          <w:color w:val="000000"/>
          <w:szCs w:val="32"/>
        </w:rPr>
        <w:t>万元，占</w:t>
      </w:r>
      <w:r>
        <w:rPr>
          <w:rFonts w:hint="eastAsia" w:ascii="仿宋_GB2312" w:hAnsi="仿宋"/>
          <w:color w:val="000000"/>
          <w:szCs w:val="32"/>
          <w:lang w:val="en-US" w:eastAsia="zh-CN"/>
        </w:rPr>
        <w:t>91.8</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8.1</w:t>
      </w:r>
      <w:r>
        <w:rPr>
          <w:rFonts w:hint="eastAsia" w:ascii="仿宋_GB2312" w:hAnsi="仿宋"/>
          <w:color w:val="000000"/>
          <w:szCs w:val="32"/>
        </w:rPr>
        <w:t>万元，占</w:t>
      </w:r>
      <w:r>
        <w:rPr>
          <w:rFonts w:hint="eastAsia" w:ascii="仿宋_GB2312" w:hAnsi="仿宋"/>
          <w:color w:val="000000"/>
          <w:szCs w:val="32"/>
          <w:lang w:val="en-US" w:eastAsia="zh-CN"/>
        </w:rPr>
        <w:t>8.2</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lang w:val="en-US" w:eastAsia="zh-CN"/>
        </w:rPr>
        <w:t>0</w:t>
      </w:r>
      <w:r>
        <w:rPr>
          <w:rFonts w:hint="eastAsia" w:ascii="仿宋" w:hAnsi="仿宋" w:eastAsia="仿宋"/>
          <w:color w:val="000000"/>
          <w:szCs w:val="32"/>
        </w:rPr>
        <w:t>万元，占</w:t>
      </w:r>
      <w:r>
        <w:rPr>
          <w:rFonts w:hint="eastAsia" w:ascii="仿宋_GB2312" w:hAnsi="仿宋" w:eastAsia="仿宋"/>
          <w:color w:val="000000"/>
          <w:szCs w:val="32"/>
          <w:lang w:val="en-US" w:eastAsia="zh-CN"/>
        </w:rPr>
        <w:t>0</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0" w:firstLineChars="200"/>
        <w:outlineLvl w:val="1"/>
        <w:rPr>
          <w:rStyle w:val="51"/>
          <w:rFonts w:ascii="黑体" w:hAnsi="黑体" w:eastAsia="黑体"/>
          <w:b w:val="0"/>
        </w:rPr>
      </w:pPr>
      <w:bookmarkStart w:id="32" w:name="_Toc15377208"/>
      <w:bookmarkStart w:id="33" w:name="_Toc15396606"/>
      <w:bookmarkStart w:id="34" w:name="_Toc49976119"/>
      <w:bookmarkStart w:id="35" w:name="_Toc49975932"/>
      <w:r>
        <w:rPr>
          <w:rFonts w:hint="eastAsia" w:ascii="黑体" w:hAnsi="黑体" w:eastAsia="黑体"/>
          <w:color w:val="000000"/>
          <w:szCs w:val="32"/>
        </w:rPr>
        <w:t>四、财</w:t>
      </w:r>
      <w:r>
        <w:rPr>
          <w:rStyle w:val="51"/>
          <w:rFonts w:hint="eastAsia" w:ascii="黑体" w:hAnsi="黑体" w:eastAsia="黑体"/>
        </w:rPr>
        <w:t>政拨款收入支出决算总体情况说明</w:t>
      </w:r>
      <w:bookmarkEnd w:id="32"/>
      <w:bookmarkEnd w:id="33"/>
      <w:bookmarkEnd w:id="34"/>
      <w:bookmarkEnd w:id="35"/>
    </w:p>
    <w:p>
      <w:pPr>
        <w:spacing w:line="560" w:lineRule="exact"/>
        <w:ind w:firstLine="640" w:firstLineChars="200"/>
        <w:rPr>
          <w:rFonts w:ascii="仿宋" w:hAnsi="仿宋"/>
          <w:color w:val="000000"/>
          <w:szCs w:val="32"/>
        </w:rPr>
      </w:pPr>
      <w:r>
        <w:rPr>
          <w:rFonts w:ascii="仿宋_GB2312" w:hAnsi="仿宋"/>
          <w:szCs w:val="32"/>
        </w:rPr>
        <w:drawing>
          <wp:anchor distT="0" distB="0" distL="114300" distR="114300" simplePos="0" relativeHeight="251661312" behindDoc="0" locked="0" layoutInCell="1" allowOverlap="1">
            <wp:simplePos x="0" y="0"/>
            <wp:positionH relativeFrom="column">
              <wp:posOffset>1283335</wp:posOffset>
            </wp:positionH>
            <wp:positionV relativeFrom="paragraph">
              <wp:posOffset>1218565</wp:posOffset>
            </wp:positionV>
            <wp:extent cx="2911475" cy="1741805"/>
            <wp:effectExtent l="0" t="0" r="3175"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11475" cy="1741805"/>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20年财政拨款收、</w:t>
      </w:r>
      <w:r>
        <w:rPr>
          <w:rFonts w:hint="eastAsia" w:ascii="仿宋" w:hAnsi="仿宋" w:eastAsia="仿宋"/>
          <w:szCs w:val="32"/>
        </w:rPr>
        <w:t>支总计</w:t>
      </w:r>
      <w:r>
        <w:rPr>
          <w:rFonts w:hint="eastAsia" w:ascii="仿宋" w:hAnsi="仿宋" w:eastAsia="仿宋"/>
          <w:color w:val="000000"/>
          <w:szCs w:val="32"/>
          <w:lang w:val="en-US" w:eastAsia="zh-CN"/>
        </w:rPr>
        <w:t>98.8</w:t>
      </w:r>
      <w:r>
        <w:rPr>
          <w:rFonts w:hint="eastAsia" w:ascii="仿宋" w:hAnsi="仿宋" w:eastAsia="仿宋"/>
          <w:szCs w:val="32"/>
        </w:rPr>
        <w:t>万元。</w:t>
      </w:r>
      <w:r>
        <w:rPr>
          <w:rFonts w:hint="eastAsia" w:ascii="仿宋" w:hAnsi="仿宋" w:eastAsia="仿宋"/>
          <w:color w:val="000000"/>
          <w:szCs w:val="32"/>
        </w:rPr>
        <w:t>与2019年相比，收、支总计各</w:t>
      </w:r>
      <w:r>
        <w:rPr>
          <w:rFonts w:hint="eastAsia" w:ascii="仿宋" w:hAnsi="仿宋" w:eastAsia="仿宋"/>
          <w:szCs w:val="32"/>
        </w:rPr>
        <w:t>增加</w:t>
      </w:r>
      <w:r>
        <w:rPr>
          <w:rFonts w:hint="eastAsia" w:ascii="仿宋" w:hAnsi="仿宋" w:eastAsia="仿宋"/>
          <w:szCs w:val="32"/>
          <w:lang w:val="en-US" w:eastAsia="zh-CN"/>
        </w:rPr>
        <w:t>8</w:t>
      </w:r>
      <w:r>
        <w:rPr>
          <w:rFonts w:hint="eastAsia" w:ascii="仿宋" w:hAnsi="仿宋" w:eastAsia="仿宋"/>
          <w:color w:val="000000"/>
          <w:szCs w:val="32"/>
        </w:rPr>
        <w:t>万元，增长</w:t>
      </w:r>
      <w:r>
        <w:rPr>
          <w:rFonts w:hint="eastAsia" w:ascii="仿宋" w:hAnsi="仿宋" w:eastAsia="仿宋"/>
          <w:color w:val="000000"/>
          <w:szCs w:val="32"/>
          <w:lang w:val="en-US" w:eastAsia="zh-CN"/>
        </w:rPr>
        <w:t>8.8</w:t>
      </w:r>
      <w:r>
        <w:rPr>
          <w:rFonts w:hint="eastAsia" w:ascii="仿宋" w:hAnsi="仿宋" w:eastAsia="仿宋"/>
          <w:color w:val="000000"/>
          <w:szCs w:val="32"/>
        </w:rPr>
        <w:t>%。主要变动原因是</w:t>
      </w:r>
      <w:r>
        <w:rPr>
          <w:rFonts w:hint="eastAsia" w:ascii="仿宋_GB2312" w:hAnsi="仿宋"/>
          <w:szCs w:val="32"/>
        </w:rPr>
        <w:t>年中有新增地方财政配套资金。</w:t>
      </w:r>
    </w:p>
    <w:p>
      <w:pPr>
        <w:spacing w:line="560" w:lineRule="exact"/>
        <w:ind w:firstLine="640" w:firstLineChars="200"/>
        <w:outlineLvl w:val="1"/>
        <w:rPr>
          <w:rFonts w:ascii="黑体" w:hAnsi="黑体" w:eastAsia="黑体"/>
          <w:bCs/>
          <w:szCs w:val="32"/>
        </w:rPr>
      </w:pPr>
      <w:bookmarkStart w:id="36" w:name="_Toc49976120"/>
      <w:bookmarkStart w:id="37" w:name="_Toc49975933"/>
      <w:bookmarkStart w:id="38" w:name="_Toc15396607"/>
      <w:bookmarkStart w:id="39" w:name="_Toc15377209"/>
      <w:r>
        <w:rPr>
          <w:rFonts w:hint="eastAsia" w:ascii="黑体" w:hAnsi="黑体" w:eastAsia="黑体"/>
          <w:color w:val="000000"/>
          <w:szCs w:val="32"/>
        </w:rPr>
        <w:t>五、</w:t>
      </w:r>
      <w:r>
        <w:rPr>
          <w:rFonts w:hint="eastAsia" w:ascii="黑体" w:hAnsi="黑体" w:eastAsia="黑体"/>
          <w:b/>
          <w:color w:val="000000"/>
          <w:szCs w:val="32"/>
        </w:rPr>
        <w:t>一</w:t>
      </w:r>
      <w:r>
        <w:rPr>
          <w:rStyle w:val="51"/>
          <w:rFonts w:hint="eastAsia" w:ascii="黑体" w:hAnsi="黑体" w:eastAsia="黑体"/>
        </w:rPr>
        <w:t>般公共预算财政拨款支出决算情况说明</w:t>
      </w:r>
      <w:bookmarkEnd w:id="36"/>
      <w:bookmarkEnd w:id="37"/>
      <w:bookmarkEnd w:id="38"/>
      <w:bookmarkEnd w:id="39"/>
      <w:bookmarkStart w:id="40" w:name="_Toc15377210"/>
    </w:p>
    <w:p>
      <w:pPr>
        <w:spacing w:line="560" w:lineRule="exact"/>
        <w:ind w:firstLine="643" w:firstLineChars="200"/>
        <w:outlineLvl w:val="2"/>
        <w:rPr>
          <w:rFonts w:ascii="仿宋" w:hAnsi="仿宋" w:eastAsia="仿宋"/>
          <w:b/>
          <w:color w:val="000000"/>
          <w:szCs w:val="32"/>
        </w:rPr>
      </w:pPr>
      <w:r>
        <w:rPr>
          <w:rFonts w:hint="eastAsia" w:ascii="仿宋" w:hAnsi="仿宋" w:eastAsia="仿宋"/>
          <w:b/>
          <w:color w:val="000000"/>
          <w:szCs w:val="32"/>
        </w:rPr>
        <w:t>（一）一般公共预算财政拨款支出决算总体情况</w:t>
      </w:r>
      <w:bookmarkEnd w:id="40"/>
    </w:p>
    <w:p>
      <w:pPr>
        <w:snapToGrid w:val="0"/>
        <w:spacing w:line="52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20年一般公共预算财政拨款支出</w:t>
      </w:r>
      <w:r>
        <w:rPr>
          <w:rFonts w:hint="eastAsia" w:ascii="仿宋" w:hAnsi="仿宋" w:eastAsia="仿宋"/>
          <w:color w:val="000000"/>
          <w:szCs w:val="32"/>
          <w:lang w:val="en-US" w:eastAsia="zh-CN"/>
        </w:rPr>
        <w:t>98.8</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ascii="仿宋" w:hAnsi="仿宋" w:eastAsia="仿宋"/>
          <w:color w:val="000000"/>
          <w:szCs w:val="32"/>
        </w:rPr>
        <w:t>201</w:t>
      </w:r>
      <w:r>
        <w:rPr>
          <w:rFonts w:hint="eastAsia" w:ascii="仿宋" w:hAnsi="仿宋" w:eastAsia="仿宋"/>
          <w:color w:val="000000"/>
          <w:szCs w:val="32"/>
        </w:rPr>
        <w:t>9年相比，一般公共预算财政拨款增加</w:t>
      </w:r>
      <w:r>
        <w:rPr>
          <w:rFonts w:hint="eastAsia" w:ascii="仿宋" w:hAnsi="仿宋" w:eastAsia="仿宋"/>
          <w:color w:val="000000"/>
          <w:szCs w:val="32"/>
          <w:lang w:val="en-US" w:eastAsia="zh-CN"/>
        </w:rPr>
        <w:t>8</w:t>
      </w:r>
      <w:r>
        <w:rPr>
          <w:rFonts w:hint="eastAsia" w:ascii="仿宋" w:hAnsi="仿宋" w:eastAsia="仿宋"/>
          <w:color w:val="000000"/>
          <w:szCs w:val="32"/>
        </w:rPr>
        <w:t>元，增加</w:t>
      </w:r>
      <w:r>
        <w:rPr>
          <w:rFonts w:hint="eastAsia" w:ascii="仿宋" w:hAnsi="仿宋" w:eastAsia="仿宋"/>
          <w:color w:val="000000"/>
          <w:szCs w:val="32"/>
          <w:lang w:val="en-US" w:eastAsia="zh-CN"/>
        </w:rPr>
        <w:t>8.8</w:t>
      </w:r>
      <w:r>
        <w:rPr>
          <w:rFonts w:ascii="仿宋" w:hAnsi="仿宋" w:eastAsia="仿宋"/>
          <w:color w:val="000000"/>
          <w:szCs w:val="32"/>
        </w:rPr>
        <w:t>%</w:t>
      </w:r>
      <w:r>
        <w:rPr>
          <w:rFonts w:hint="eastAsia" w:ascii="仿宋" w:hAnsi="仿宋" w:eastAsia="仿宋"/>
          <w:color w:val="000000"/>
          <w:szCs w:val="32"/>
        </w:rPr>
        <w:t>。主要变动原因是</w:t>
      </w:r>
      <w:r>
        <w:rPr>
          <w:rFonts w:hint="eastAsia" w:ascii="仿宋_GB2312" w:hAnsi="仿宋"/>
          <w:szCs w:val="32"/>
        </w:rPr>
        <w:t>年中有新增地方财政配套资金</w:t>
      </w:r>
      <w:r>
        <w:rPr>
          <w:rFonts w:hint="eastAsia" w:ascii="仿宋" w:hAnsi="仿宋" w:eastAsia="仿宋"/>
          <w:color w:val="000000"/>
          <w:szCs w:val="32"/>
        </w:rPr>
        <w:t>。</w:t>
      </w:r>
    </w:p>
    <w:p>
      <w:pPr>
        <w:snapToGrid w:val="0"/>
        <w:spacing w:line="520" w:lineRule="exact"/>
        <w:ind w:firstLine="640" w:firstLineChars="200"/>
        <w:rPr>
          <w:rFonts w:hint="eastAsia" w:ascii="仿宋_GB2312" w:hAnsi="仿宋" w:eastAsia="仿宋_GB2312"/>
          <w:szCs w:val="32"/>
          <w:lang w:val="en-US" w:eastAsia="zh-CN"/>
        </w:rPr>
      </w:pPr>
    </w:p>
    <w:p>
      <w:pPr>
        <w:spacing w:line="560" w:lineRule="exact"/>
        <w:ind w:firstLine="643" w:firstLineChars="200"/>
        <w:outlineLvl w:val="2"/>
        <w:rPr>
          <w:rFonts w:ascii="仿宋" w:hAnsi="仿宋" w:eastAsia="仿宋"/>
          <w:b/>
          <w:color w:val="000000"/>
          <w:szCs w:val="32"/>
        </w:rPr>
      </w:pPr>
      <w:bookmarkStart w:id="41" w:name="_Toc15377211"/>
      <w:r>
        <w:rPr>
          <w:rFonts w:hint="eastAsia" w:ascii="仿宋" w:hAnsi="仿宋" w:eastAsia="仿宋"/>
          <w:b/>
          <w:color w:val="000000"/>
          <w:szCs w:val="32"/>
        </w:rPr>
        <w:t>（二）一般公共预算财政拨款支出决算结构情况</w:t>
      </w:r>
      <w:bookmarkEnd w:id="41"/>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4384" behindDoc="0" locked="0" layoutInCell="1" allowOverlap="1">
            <wp:simplePos x="0" y="0"/>
            <wp:positionH relativeFrom="column">
              <wp:posOffset>887095</wp:posOffset>
            </wp:positionH>
            <wp:positionV relativeFrom="paragraph">
              <wp:posOffset>1837055</wp:posOffset>
            </wp:positionV>
            <wp:extent cx="3664585" cy="2203450"/>
            <wp:effectExtent l="0" t="0" r="0" b="6985"/>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ascii="仿宋" w:hAnsi="仿宋" w:eastAsia="仿宋"/>
          <w:color w:val="000000"/>
          <w:szCs w:val="32"/>
        </w:rPr>
        <w:t>2</w:t>
      </w:r>
      <w:r>
        <w:rPr>
          <w:rFonts w:hint="eastAsia" w:ascii="仿宋" w:hAnsi="仿宋" w:eastAsia="仿宋"/>
          <w:color w:val="000000"/>
          <w:szCs w:val="32"/>
        </w:rPr>
        <w:t>020年一般公共预算财政拨款支出</w:t>
      </w:r>
      <w:r>
        <w:rPr>
          <w:rFonts w:hint="eastAsia" w:ascii="仿宋" w:hAnsi="仿宋" w:eastAsia="仿宋"/>
          <w:color w:val="000000"/>
          <w:szCs w:val="32"/>
          <w:lang w:val="en-US" w:eastAsia="zh-CN"/>
        </w:rPr>
        <w:t>98.8</w:t>
      </w:r>
      <w:r>
        <w:rPr>
          <w:rFonts w:hint="eastAsia" w:ascii="仿宋" w:hAnsi="仿宋" w:eastAsia="仿宋"/>
          <w:color w:val="000000"/>
          <w:szCs w:val="32"/>
        </w:rPr>
        <w:t>万元，主要用于以下方面</w:t>
      </w:r>
      <w:r>
        <w:rPr>
          <w:rFonts w:ascii="仿宋" w:hAnsi="仿宋" w:eastAsia="仿宋"/>
          <w:color w:val="000000"/>
          <w:szCs w:val="32"/>
        </w:rPr>
        <w:t>:</w:t>
      </w:r>
      <w:r>
        <w:rPr>
          <w:rFonts w:hint="eastAsia" w:ascii="仿宋" w:hAnsi="仿宋" w:eastAsia="仿宋"/>
          <w:b/>
          <w:color w:val="000000"/>
          <w:szCs w:val="32"/>
        </w:rPr>
        <w:t>一般公共服务（类）</w:t>
      </w:r>
      <w:r>
        <w:rPr>
          <w:rFonts w:hint="eastAsia" w:ascii="仿宋" w:hAnsi="仿宋" w:eastAsia="仿宋"/>
          <w:color w:val="000000"/>
          <w:szCs w:val="32"/>
        </w:rPr>
        <w:t>支出</w:t>
      </w:r>
      <w:r>
        <w:rPr>
          <w:rFonts w:hint="eastAsia" w:ascii="仿宋" w:hAnsi="仿宋" w:eastAsia="仿宋"/>
          <w:color w:val="000000"/>
          <w:szCs w:val="32"/>
          <w:lang w:val="en-US" w:eastAsia="zh-CN"/>
        </w:rPr>
        <w:t>79.1</w:t>
      </w:r>
      <w:r>
        <w:rPr>
          <w:rFonts w:hint="eastAsia" w:ascii="仿宋" w:hAnsi="仿宋" w:eastAsia="仿宋"/>
          <w:color w:val="000000"/>
          <w:szCs w:val="32"/>
        </w:rPr>
        <w:t>万元，占8</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w:t>
      </w:r>
      <w:r>
        <w:rPr>
          <w:rFonts w:hint="eastAsia" w:ascii="仿宋" w:hAnsi="仿宋" w:eastAsia="仿宋"/>
          <w:color w:val="000000"/>
          <w:szCs w:val="32"/>
          <w:lang w:val="en-US" w:eastAsia="zh-CN"/>
        </w:rPr>
        <w:t>9.9</w:t>
      </w:r>
      <w:r>
        <w:rPr>
          <w:rFonts w:hint="eastAsia" w:ascii="仿宋" w:hAnsi="仿宋" w:eastAsia="仿宋"/>
          <w:color w:val="000000"/>
          <w:szCs w:val="32"/>
        </w:rPr>
        <w:t>万元，占</w:t>
      </w:r>
      <w:r>
        <w:rPr>
          <w:rFonts w:hint="eastAsia" w:ascii="仿宋" w:hAnsi="仿宋" w:eastAsia="仿宋"/>
          <w:color w:val="000000"/>
          <w:szCs w:val="32"/>
          <w:lang w:val="en-US" w:eastAsia="zh-CN"/>
        </w:rPr>
        <w:t>10</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卫生健康支出4</w:t>
      </w:r>
      <w:r>
        <w:rPr>
          <w:rFonts w:hint="eastAsia" w:ascii="仿宋" w:hAnsi="仿宋" w:eastAsia="仿宋"/>
          <w:color w:val="000000"/>
          <w:szCs w:val="32"/>
        </w:rPr>
        <w:t>万元，占</w:t>
      </w:r>
      <w:r>
        <w:rPr>
          <w:rFonts w:hint="eastAsia" w:ascii="仿宋" w:hAnsi="仿宋" w:eastAsia="仿宋"/>
          <w:color w:val="000000"/>
          <w:szCs w:val="32"/>
          <w:lang w:val="en-US" w:eastAsia="zh-CN"/>
        </w:rPr>
        <w:t>4</w:t>
      </w:r>
      <w:r>
        <w:rPr>
          <w:rFonts w:ascii="仿宋" w:hAnsi="仿宋" w:eastAsia="仿宋"/>
          <w:color w:val="000000"/>
          <w:szCs w:val="32"/>
        </w:rPr>
        <w:t>%</w:t>
      </w:r>
      <w:r>
        <w:rPr>
          <w:rFonts w:hint="eastAsia" w:ascii="仿宋" w:hAnsi="仿宋" w:eastAsia="仿宋"/>
          <w:color w:val="000000"/>
          <w:szCs w:val="32"/>
        </w:rPr>
        <w:t>；住房保障支出</w:t>
      </w:r>
      <w:r>
        <w:rPr>
          <w:rFonts w:hint="eastAsia" w:ascii="仿宋" w:hAnsi="仿宋" w:eastAsia="仿宋"/>
          <w:color w:val="000000"/>
          <w:szCs w:val="32"/>
          <w:lang w:val="en-US" w:eastAsia="zh-CN"/>
        </w:rPr>
        <w:t>6</w:t>
      </w:r>
      <w:r>
        <w:rPr>
          <w:rFonts w:hint="eastAsia" w:ascii="仿宋" w:hAnsi="仿宋" w:eastAsia="仿宋"/>
          <w:color w:val="000000"/>
          <w:szCs w:val="32"/>
        </w:rPr>
        <w:t>万元，占</w:t>
      </w:r>
      <w:r>
        <w:rPr>
          <w:rFonts w:hint="eastAsia" w:ascii="仿宋" w:hAnsi="仿宋" w:eastAsia="仿宋"/>
          <w:color w:val="000000"/>
          <w:szCs w:val="32"/>
          <w:lang w:val="en-US" w:eastAsia="zh-CN"/>
        </w:rPr>
        <w:t>6</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3" w:firstLineChars="200"/>
        <w:outlineLvl w:val="2"/>
        <w:rPr>
          <w:rFonts w:ascii="仿宋" w:hAnsi="仿宋" w:eastAsia="仿宋"/>
          <w:b/>
          <w:color w:val="000000"/>
          <w:szCs w:val="32"/>
        </w:rPr>
      </w:pPr>
      <w:bookmarkStart w:id="42" w:name="_Toc15377212"/>
      <w:r>
        <w:rPr>
          <w:rFonts w:hint="eastAsia" w:ascii="仿宋" w:hAnsi="仿宋" w:eastAsia="仿宋"/>
          <w:b/>
          <w:color w:val="000000"/>
          <w:szCs w:val="32"/>
        </w:rPr>
        <w:t>（三）一般公共预算财政拨款支出决算具体情况</w:t>
      </w:r>
      <w:bookmarkEnd w:id="42"/>
    </w:p>
    <w:p>
      <w:pPr>
        <w:spacing w:line="560" w:lineRule="exact"/>
        <w:ind w:firstLine="640" w:firstLineChars="200"/>
        <w:rPr>
          <w:rFonts w:ascii="仿宋_GB2312"/>
        </w:rPr>
      </w:pPr>
      <w:bookmarkStart w:id="43" w:name="_Toc15377213"/>
      <w:bookmarkStart w:id="44" w:name="_Toc15378460"/>
      <w:bookmarkStart w:id="45" w:name="_Toc15377444"/>
      <w:r>
        <w:rPr>
          <w:rFonts w:hint="eastAsia" w:ascii="仿宋_GB2312"/>
        </w:rPr>
        <w:t>2020年一般公共预算支出决算数为</w:t>
      </w:r>
      <w:r>
        <w:rPr>
          <w:rFonts w:hint="eastAsia" w:ascii="仿宋_GB2312"/>
          <w:lang w:val="en-US" w:eastAsia="zh-CN"/>
        </w:rPr>
        <w:t>98.8</w:t>
      </w:r>
      <w:r>
        <w:rPr>
          <w:rFonts w:hint="eastAsia" w:ascii="仿宋_GB2312"/>
        </w:rPr>
        <w:t>万元，</w:t>
      </w:r>
      <w:r>
        <w:rPr>
          <w:rFonts w:hint="eastAsia" w:ascii="仿宋_GB2312"/>
          <w:b/>
        </w:rPr>
        <w:t>完成预算100%。其中：</w:t>
      </w:r>
      <w:bookmarkEnd w:id="43"/>
      <w:bookmarkEnd w:id="44"/>
      <w:bookmarkEnd w:id="45"/>
    </w:p>
    <w:p>
      <w:pPr>
        <w:numPr>
          <w:ilvl w:val="0"/>
          <w:numId w:val="2"/>
        </w:numPr>
        <w:spacing w:line="560" w:lineRule="exact"/>
        <w:rPr>
          <w:rFonts w:hint="eastAsia" w:ascii="仿宋_GB2312"/>
        </w:rPr>
      </w:pPr>
      <w:r>
        <w:rPr>
          <w:rStyle w:val="29"/>
          <w:rFonts w:hint="eastAsia" w:ascii="仿宋" w:hAnsi="仿宋" w:eastAsia="仿宋"/>
          <w:bCs w:val="0"/>
          <w:color w:val="000000"/>
          <w:szCs w:val="32"/>
        </w:rPr>
        <w:t>公共安全</w:t>
      </w:r>
      <w:r>
        <w:rPr>
          <w:rStyle w:val="29"/>
          <w:rFonts w:ascii="仿宋" w:hAnsi="仿宋" w:eastAsia="仿宋"/>
          <w:bCs w:val="0"/>
          <w:color w:val="000000"/>
          <w:szCs w:val="32"/>
        </w:rPr>
        <w:t xml:space="preserve">: </w:t>
      </w:r>
      <w:r>
        <w:rPr>
          <w:rFonts w:hint="eastAsia" w:ascii="仿宋_GB2312"/>
        </w:rPr>
        <w:t>2040250事业运行支出决算为71.13万元，完成预算100.00%；2040299其他公安支出决算为8.01万元，完成预算100.00%；</w:t>
      </w:r>
    </w:p>
    <w:p>
      <w:pPr>
        <w:numPr>
          <w:ilvl w:val="0"/>
          <w:numId w:val="0"/>
        </w:numPr>
        <w:spacing w:line="560" w:lineRule="exact"/>
        <w:rPr>
          <w:rFonts w:ascii="仿宋_GB2312"/>
        </w:rPr>
      </w:pPr>
      <w:r>
        <w:rPr>
          <w:rStyle w:val="29"/>
          <w:rFonts w:hint="eastAsia" w:ascii="仿宋" w:hAnsi="仿宋" w:eastAsia="仿宋"/>
          <w:bCs w:val="0"/>
          <w:color w:val="000000"/>
          <w:szCs w:val="32"/>
        </w:rPr>
        <w:t>2</w:t>
      </w:r>
      <w:r>
        <w:rPr>
          <w:rStyle w:val="29"/>
          <w:rFonts w:ascii="仿宋" w:hAnsi="仿宋" w:eastAsia="仿宋"/>
          <w:bCs w:val="0"/>
          <w:color w:val="000000"/>
          <w:szCs w:val="32"/>
        </w:rPr>
        <w:t>.</w:t>
      </w:r>
      <w:r>
        <w:rPr>
          <w:rStyle w:val="29"/>
          <w:rFonts w:hint="eastAsia" w:ascii="仿宋" w:hAnsi="仿宋" w:eastAsia="仿宋"/>
          <w:bCs w:val="0"/>
          <w:color w:val="000000"/>
          <w:szCs w:val="32"/>
        </w:rPr>
        <w:t>社会保障和就业</w:t>
      </w:r>
      <w:r>
        <w:rPr>
          <w:rStyle w:val="29"/>
          <w:rFonts w:ascii="仿宋" w:hAnsi="仿宋" w:eastAsia="仿宋"/>
          <w:bCs w:val="0"/>
          <w:color w:val="000000"/>
          <w:szCs w:val="32"/>
        </w:rPr>
        <w:t xml:space="preserve">: </w:t>
      </w:r>
      <w:r>
        <w:rPr>
          <w:rFonts w:hint="eastAsia" w:ascii="仿宋_GB2312"/>
        </w:rPr>
        <w:t>2080505机关事业单位基本养老保险缴费支出决算为</w:t>
      </w:r>
      <w:r>
        <w:rPr>
          <w:rFonts w:hint="eastAsia" w:ascii="仿宋_GB2312"/>
          <w:lang w:val="en-US" w:eastAsia="zh-CN"/>
        </w:rPr>
        <w:t>6.6</w:t>
      </w:r>
      <w:r>
        <w:rPr>
          <w:rFonts w:hint="eastAsia" w:ascii="仿宋_GB2312"/>
        </w:rPr>
        <w:t>万元，完成预算100.00%；2080506机关事业单位职业年金缴费支出决算为</w:t>
      </w:r>
      <w:r>
        <w:rPr>
          <w:rFonts w:hint="eastAsia" w:ascii="仿宋_GB2312"/>
          <w:lang w:val="en-US" w:eastAsia="zh-CN"/>
        </w:rPr>
        <w:t>3.</w:t>
      </w:r>
      <w:r>
        <w:rPr>
          <w:rFonts w:hint="eastAsia" w:ascii="仿宋_GB2312"/>
        </w:rPr>
        <w:t>3万元，完成预算100.00%。</w:t>
      </w:r>
    </w:p>
    <w:p>
      <w:pPr>
        <w:spacing w:line="560" w:lineRule="exact"/>
        <w:rPr>
          <w:rFonts w:hint="eastAsia" w:ascii="仿宋_GB2312"/>
        </w:rPr>
      </w:pPr>
      <w:r>
        <w:rPr>
          <w:rStyle w:val="29"/>
          <w:rFonts w:hint="eastAsia" w:ascii="仿宋" w:hAnsi="仿宋" w:eastAsia="仿宋"/>
          <w:bCs w:val="0"/>
          <w:color w:val="000000"/>
          <w:szCs w:val="32"/>
        </w:rPr>
        <w:t>3</w:t>
      </w:r>
      <w:r>
        <w:rPr>
          <w:rStyle w:val="29"/>
          <w:rFonts w:ascii="仿宋" w:hAnsi="仿宋" w:eastAsia="仿宋"/>
          <w:bCs w:val="0"/>
          <w:color w:val="000000"/>
          <w:szCs w:val="32"/>
        </w:rPr>
        <w:t>.</w:t>
      </w:r>
      <w:r>
        <w:rPr>
          <w:rFonts w:hint="eastAsia" w:ascii="仿宋" w:hAnsi="仿宋" w:eastAsia="仿宋"/>
          <w:b/>
          <w:bCs/>
          <w:color w:val="000000"/>
          <w:szCs w:val="32"/>
        </w:rPr>
        <w:t>卫生健康</w:t>
      </w:r>
      <w:r>
        <w:rPr>
          <w:rStyle w:val="29"/>
          <w:rFonts w:ascii="仿宋" w:hAnsi="仿宋" w:eastAsia="仿宋"/>
          <w:bCs w:val="0"/>
          <w:color w:val="000000"/>
          <w:szCs w:val="32"/>
        </w:rPr>
        <w:t>:</w:t>
      </w:r>
      <w:r>
        <w:rPr>
          <w:rFonts w:hint="eastAsia" w:ascii="仿宋_GB2312"/>
        </w:rPr>
        <w:t>2101102事业单位医疗支出决算为3.98万元，完成预算100.00%。</w:t>
      </w:r>
    </w:p>
    <w:p>
      <w:pPr>
        <w:spacing w:line="560" w:lineRule="exact"/>
        <w:rPr>
          <w:rFonts w:ascii="仿宋_GB2312"/>
        </w:rPr>
      </w:pPr>
      <w:r>
        <w:rPr>
          <w:rStyle w:val="29"/>
          <w:rFonts w:hint="eastAsia" w:ascii="仿宋" w:hAnsi="仿宋" w:eastAsia="仿宋"/>
          <w:bCs w:val="0"/>
          <w:color w:val="000000"/>
          <w:szCs w:val="32"/>
        </w:rPr>
        <w:t>4</w:t>
      </w:r>
      <w:r>
        <w:rPr>
          <w:rStyle w:val="29"/>
          <w:rFonts w:ascii="仿宋" w:hAnsi="仿宋" w:eastAsia="仿宋"/>
          <w:bCs w:val="0"/>
          <w:color w:val="000000"/>
          <w:szCs w:val="32"/>
        </w:rPr>
        <w:t>.</w:t>
      </w:r>
      <w:r>
        <w:rPr>
          <w:rFonts w:hint="eastAsia" w:ascii="仿宋" w:hAnsi="仿宋" w:eastAsia="仿宋"/>
          <w:b/>
          <w:bCs/>
          <w:color w:val="000000"/>
          <w:szCs w:val="32"/>
        </w:rPr>
        <w:t>住房保障</w:t>
      </w:r>
      <w:r>
        <w:rPr>
          <w:rStyle w:val="29"/>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5.7</w:t>
      </w:r>
      <w:r>
        <w:rPr>
          <w:rFonts w:hint="eastAsia" w:ascii="仿宋_GB2312"/>
        </w:rPr>
        <w:t>万元，完成预算100.00</w:t>
      </w:r>
      <w:r>
        <w:rPr>
          <w:rFonts w:ascii="仿宋_GB2312"/>
        </w:rPr>
        <w:t>%</w:t>
      </w:r>
      <w:r>
        <w:rPr>
          <w:rFonts w:hint="eastAsia" w:ascii="仿宋_GB2312"/>
        </w:rPr>
        <w:t>。</w:t>
      </w:r>
    </w:p>
    <w:p>
      <w:pPr>
        <w:spacing w:line="560" w:lineRule="exact"/>
        <w:ind w:firstLine="640"/>
        <w:rPr>
          <w:rFonts w:ascii="仿宋" w:hAnsi="仿宋" w:eastAsia="仿宋"/>
          <w:b/>
          <w:color w:val="000000"/>
          <w:szCs w:val="32"/>
        </w:rPr>
      </w:pPr>
    </w:p>
    <w:p>
      <w:pPr>
        <w:tabs>
          <w:tab w:val="right" w:pos="8306"/>
        </w:tabs>
        <w:spacing w:line="560" w:lineRule="exact"/>
        <w:ind w:firstLine="640"/>
        <w:outlineLvl w:val="1"/>
        <w:rPr>
          <w:rStyle w:val="51"/>
        </w:rPr>
      </w:pPr>
      <w:bookmarkStart w:id="46" w:name="_Toc49976121"/>
      <w:bookmarkStart w:id="47" w:name="_Toc49975934"/>
      <w:bookmarkStart w:id="48" w:name="_Toc15396608"/>
      <w:bookmarkStart w:id="49" w:name="_Toc15377214"/>
      <w:r>
        <w:rPr>
          <w:rFonts w:hint="eastAsia" w:ascii="黑体" w:eastAsia="黑体"/>
          <w:color w:val="000000"/>
          <w:szCs w:val="32"/>
        </w:rPr>
        <w:t>六</w:t>
      </w:r>
      <w:r>
        <w:rPr>
          <w:rFonts w:hint="eastAsia" w:ascii="黑体" w:eastAsia="黑体"/>
          <w:b/>
          <w:color w:val="000000"/>
          <w:szCs w:val="32"/>
        </w:rPr>
        <w:t>、</w:t>
      </w:r>
      <w:r>
        <w:rPr>
          <w:rFonts w:hint="eastAsia" w:ascii="黑体" w:hAnsi="黑体" w:eastAsia="黑体"/>
          <w:b/>
          <w:color w:val="000000"/>
          <w:szCs w:val="32"/>
        </w:rPr>
        <w:t>一</w:t>
      </w:r>
      <w:r>
        <w:rPr>
          <w:rStyle w:val="51"/>
          <w:rFonts w:hint="eastAsia" w:ascii="黑体" w:hAnsi="黑体" w:eastAsia="黑体"/>
        </w:rPr>
        <w:t>般公共预算财政拨款基本支出决算情况说明</w:t>
      </w:r>
      <w:bookmarkEnd w:id="46"/>
      <w:bookmarkEnd w:id="47"/>
      <w:bookmarkEnd w:id="48"/>
      <w:bookmarkEnd w:id="49"/>
      <w:r>
        <w:rPr>
          <w:rStyle w:val="51"/>
          <w:rFonts w:ascii="黑体" w:hAnsi="黑体" w:eastAsia="黑体"/>
        </w:rPr>
        <w:tab/>
      </w:r>
    </w:p>
    <w:p>
      <w:pPr>
        <w:spacing w:line="560" w:lineRule="exact"/>
        <w:ind w:firstLine="645"/>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20年一般公共预算财政拨款基本支出</w:t>
      </w:r>
      <w:r>
        <w:rPr>
          <w:rFonts w:hint="eastAsia" w:ascii="仿宋" w:hAnsi="仿宋" w:eastAsia="仿宋"/>
          <w:color w:val="000000"/>
          <w:szCs w:val="32"/>
          <w:lang w:val="en-US" w:eastAsia="zh-CN"/>
        </w:rPr>
        <w:t>90.8</w:t>
      </w:r>
      <w:r>
        <w:rPr>
          <w:rFonts w:hint="eastAsia" w:ascii="仿宋" w:hAnsi="仿宋" w:eastAsia="仿宋"/>
          <w:color w:val="000000"/>
          <w:szCs w:val="32"/>
        </w:rPr>
        <w:t>万元，其中：</w:t>
      </w:r>
    </w:p>
    <w:p>
      <w:pPr>
        <w:spacing w:line="560" w:lineRule="exact"/>
        <w:ind w:firstLine="645"/>
        <w:rPr>
          <w:rFonts w:ascii="仿宋" w:hAnsi="仿宋" w:eastAsia="仿宋"/>
          <w:color w:val="000000"/>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68.8</w:t>
      </w:r>
      <w:r>
        <w:rPr>
          <w:rFonts w:hint="eastAsia" w:ascii="仿宋" w:hAnsi="仿宋" w:eastAsia="仿宋"/>
          <w:color w:val="000000"/>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22</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outlineLvl w:val="1"/>
        <w:rPr>
          <w:rStyle w:val="51"/>
          <w:rFonts w:ascii="黑体" w:hAnsi="黑体" w:eastAsia="黑体"/>
          <w:b w:val="0"/>
        </w:rPr>
      </w:pPr>
      <w:bookmarkStart w:id="50" w:name="_Toc15396609"/>
      <w:bookmarkStart w:id="51" w:name="_Toc49975935"/>
      <w:bookmarkStart w:id="52" w:name="_Toc49976122"/>
      <w:bookmarkStart w:id="53" w:name="_Toc15377215"/>
      <w:r>
        <w:rPr>
          <w:rFonts w:hint="eastAsia" w:ascii="黑体" w:eastAsia="黑体"/>
          <w:color w:val="000000"/>
          <w:szCs w:val="32"/>
        </w:rPr>
        <w:t>七、</w:t>
      </w:r>
      <w:r>
        <w:rPr>
          <w:rStyle w:val="51"/>
          <w:rFonts w:hint="eastAsia" w:ascii="黑体" w:hAnsi="黑体" w:eastAsia="黑体"/>
        </w:rPr>
        <w:t>“三公”经费财政拨款支出决算情况说明</w:t>
      </w:r>
      <w:bookmarkEnd w:id="50"/>
      <w:bookmarkEnd w:id="51"/>
      <w:bookmarkEnd w:id="52"/>
      <w:bookmarkEnd w:id="53"/>
    </w:p>
    <w:p>
      <w:pPr>
        <w:spacing w:line="560" w:lineRule="exact"/>
        <w:ind w:firstLine="640"/>
        <w:outlineLvl w:val="2"/>
        <w:rPr>
          <w:rFonts w:ascii="仿宋" w:hAnsi="仿宋" w:eastAsia="仿宋"/>
          <w:b/>
          <w:color w:val="000000"/>
          <w:szCs w:val="32"/>
        </w:rPr>
      </w:pPr>
      <w:bookmarkStart w:id="54" w:name="_Toc15377216"/>
      <w:r>
        <w:rPr>
          <w:rFonts w:hint="eastAsia" w:ascii="仿宋" w:hAnsi="仿宋" w:eastAsia="仿宋"/>
          <w:b/>
          <w:color w:val="000000"/>
          <w:szCs w:val="32"/>
        </w:rPr>
        <w:t>（一）“三公”经费财政拨款支出决算总体情况说明</w:t>
      </w:r>
      <w:bookmarkEnd w:id="54"/>
    </w:p>
    <w:p>
      <w:pPr>
        <w:spacing w:line="560" w:lineRule="exact"/>
        <w:ind w:firstLine="64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20年“三公”经费财政拨款支出决算为</w:t>
      </w:r>
      <w:r>
        <w:rPr>
          <w:rFonts w:hint="eastAsia" w:ascii="仿宋" w:hAnsi="仿宋" w:eastAsia="仿宋"/>
          <w:color w:val="000000"/>
          <w:szCs w:val="32"/>
          <w:lang w:val="en-US" w:eastAsia="zh-CN"/>
        </w:rPr>
        <w:t>0.0926</w:t>
      </w:r>
      <w:r>
        <w:rPr>
          <w:rFonts w:hint="eastAsia" w:ascii="仿宋" w:hAnsi="仿宋" w:eastAsia="仿宋"/>
          <w:color w:val="000000"/>
          <w:szCs w:val="32"/>
        </w:rPr>
        <w:t>万元，完成预算99</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0"/>
        <w:outlineLvl w:val="2"/>
        <w:rPr>
          <w:rFonts w:ascii="仿宋" w:hAnsi="仿宋" w:eastAsia="仿宋"/>
          <w:b/>
          <w:color w:val="000000"/>
          <w:szCs w:val="32"/>
        </w:rPr>
      </w:pPr>
      <w:bookmarkStart w:id="55" w:name="_Toc15377217"/>
      <w:r>
        <w:rPr>
          <w:rFonts w:hint="eastAsia" w:ascii="仿宋" w:hAnsi="仿宋" w:eastAsia="仿宋"/>
          <w:b/>
          <w:color w:val="000000"/>
          <w:szCs w:val="32"/>
        </w:rPr>
        <w:t>（二）“三公”经费财政拨款支出决算具体情况说明</w:t>
      </w:r>
      <w:bookmarkEnd w:id="55"/>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800735</wp:posOffset>
            </wp:positionH>
            <wp:positionV relativeFrom="paragraph">
              <wp:posOffset>1532890</wp:posOffset>
            </wp:positionV>
            <wp:extent cx="3664585" cy="192595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w:t>
      </w:r>
      <w:r>
        <w:rPr>
          <w:rFonts w:hint="eastAsia" w:ascii="仿宋" w:hAnsi="仿宋" w:eastAsia="仿宋"/>
          <w:color w:val="000000"/>
          <w:szCs w:val="32"/>
          <w:lang w:val="en-US" w:eastAsia="zh-CN"/>
        </w:rPr>
        <w:t>0</w:t>
      </w:r>
      <w:r>
        <w:rPr>
          <w:rFonts w:hint="eastAsia" w:ascii="仿宋" w:hAnsi="仿宋" w:eastAsia="仿宋"/>
          <w:color w:val="000000"/>
          <w:szCs w:val="32"/>
        </w:rPr>
        <w:t>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；公务接待费支出决算</w:t>
      </w:r>
      <w:r>
        <w:rPr>
          <w:rFonts w:hint="eastAsia" w:ascii="仿宋" w:hAnsi="仿宋" w:eastAsia="仿宋"/>
          <w:color w:val="000000"/>
          <w:szCs w:val="32"/>
          <w:lang w:val="en-US" w:eastAsia="zh-CN"/>
        </w:rPr>
        <w:t>0.0926</w:t>
      </w:r>
      <w:r>
        <w:rPr>
          <w:rFonts w:hint="eastAsia" w:ascii="仿宋" w:hAnsi="仿宋" w:eastAsia="仿宋"/>
          <w:color w:val="000000"/>
          <w:szCs w:val="32"/>
        </w:rPr>
        <w:t>万元，占100</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3"/>
        </w:numPr>
        <w:spacing w:line="560" w:lineRule="exact"/>
        <w:ind w:firstLine="640"/>
        <w:rPr>
          <w:rStyle w:val="29"/>
          <w:rFonts w:ascii="仿宋" w:hAnsi="仿宋" w:eastAsia="仿宋"/>
          <w:bCs w:val="0"/>
          <w:color w:val="000000"/>
          <w:szCs w:val="32"/>
        </w:rPr>
      </w:pPr>
      <w:r>
        <w:rPr>
          <w:rFonts w:hint="eastAsia" w:ascii="仿宋_GB2312"/>
          <w:b/>
          <w:color w:val="000000"/>
          <w:szCs w:val="32"/>
        </w:rPr>
        <w:t>因公出国（境）经费支出</w:t>
      </w:r>
      <w:r>
        <w:rPr>
          <w:rFonts w:hint="eastAsia" w:ascii="仿宋_GB2312"/>
          <w:color w:val="000000"/>
          <w:szCs w:val="32"/>
        </w:rPr>
        <w:t>0万元，</w:t>
      </w:r>
      <w:r>
        <w:rPr>
          <w:rStyle w:val="29"/>
          <w:rFonts w:hint="eastAsia" w:ascii="仿宋" w:hAnsi="仿宋" w:eastAsia="仿宋"/>
          <w:bCs w:val="0"/>
          <w:color w:val="000000"/>
          <w:szCs w:val="32"/>
        </w:rPr>
        <w:t>完成预算</w:t>
      </w:r>
      <w:r>
        <w:rPr>
          <w:rStyle w:val="29"/>
          <w:rFonts w:hint="eastAsia" w:ascii="仿宋" w:hAnsi="仿宋" w:eastAsia="仿宋"/>
          <w:bCs w:val="0"/>
          <w:color w:val="000000"/>
          <w:szCs w:val="32"/>
          <w:lang w:val="en-US" w:eastAsia="zh-CN"/>
        </w:rPr>
        <w:t>0</w:t>
      </w:r>
      <w:r>
        <w:rPr>
          <w:rStyle w:val="29"/>
          <w:rFonts w:ascii="仿宋" w:hAnsi="仿宋" w:eastAsia="仿宋"/>
          <w:bCs w:val="0"/>
          <w:color w:val="000000"/>
          <w:szCs w:val="32"/>
        </w:rPr>
        <w:t>%</w:t>
      </w:r>
      <w:r>
        <w:rPr>
          <w:rStyle w:val="29"/>
          <w:rFonts w:hint="eastAsia" w:ascii="仿宋" w:hAnsi="仿宋" w:eastAsia="仿宋"/>
          <w:bCs w:val="0"/>
          <w:color w:val="000000"/>
          <w:szCs w:val="32"/>
        </w:rPr>
        <w:t>。</w:t>
      </w:r>
    </w:p>
    <w:p>
      <w:pPr>
        <w:snapToGrid w:val="0"/>
        <w:spacing w:line="520" w:lineRule="exact"/>
        <w:ind w:firstLine="643" w:firstLineChars="200"/>
        <w:rPr>
          <w:rFonts w:hint="eastAsia" w:ascii="仿宋_GB2312" w:hAnsi="仿宋" w:eastAsia="仿宋"/>
          <w:szCs w:val="32"/>
          <w:lang w:val="en-US" w:eastAsia="zh-CN"/>
        </w:rPr>
      </w:pPr>
      <w:r>
        <w:rPr>
          <w:rFonts w:ascii="仿宋_GB2312"/>
          <w:b/>
          <w:szCs w:val="32"/>
        </w:rPr>
        <w:t>2.</w:t>
      </w:r>
      <w:r>
        <w:rPr>
          <w:rFonts w:hint="eastAsia" w:ascii="仿宋_GB2312"/>
          <w:b/>
          <w:szCs w:val="32"/>
        </w:rPr>
        <w:t>公务用车购置及运行维护费支出</w:t>
      </w:r>
      <w:r>
        <w:rPr>
          <w:rFonts w:hint="eastAsia" w:ascii="仿宋_GB2312"/>
          <w:szCs w:val="32"/>
          <w:lang w:val="en-US" w:eastAsia="zh-CN"/>
        </w:rPr>
        <w:t>0</w:t>
      </w:r>
      <w:r>
        <w:rPr>
          <w:rFonts w:hint="eastAsia" w:ascii="仿宋_GB2312"/>
          <w:szCs w:val="32"/>
        </w:rPr>
        <w:t>万元,</w:t>
      </w:r>
      <w:r>
        <w:rPr>
          <w:rStyle w:val="29"/>
          <w:rFonts w:hint="eastAsia" w:ascii="仿宋" w:hAnsi="仿宋" w:eastAsia="仿宋"/>
          <w:bCs w:val="0"/>
          <w:szCs w:val="32"/>
        </w:rPr>
        <w:t>完成预算</w:t>
      </w:r>
      <w:r>
        <w:rPr>
          <w:rStyle w:val="29"/>
          <w:rFonts w:hint="eastAsia" w:ascii="仿宋" w:hAnsi="仿宋" w:eastAsia="仿宋"/>
          <w:bCs w:val="0"/>
          <w:szCs w:val="32"/>
          <w:lang w:val="en-US" w:eastAsia="zh-CN"/>
        </w:rPr>
        <w:t>0</w:t>
      </w:r>
      <w:r>
        <w:rPr>
          <w:rStyle w:val="29"/>
          <w:rFonts w:ascii="仿宋" w:hAnsi="仿宋" w:eastAsia="仿宋"/>
          <w:bCs w:val="0"/>
          <w:szCs w:val="32"/>
        </w:rPr>
        <w:t>%</w:t>
      </w:r>
    </w:p>
    <w:p>
      <w:pPr>
        <w:spacing w:line="560" w:lineRule="exact"/>
        <w:ind w:firstLine="643" w:firstLineChars="200"/>
        <w:rPr>
          <w:rStyle w:val="29"/>
          <w:rFonts w:hint="eastAsia" w:ascii="仿宋" w:hAnsi="仿宋" w:eastAsia="仿宋"/>
          <w:bCs w:val="0"/>
          <w:color w:val="000000"/>
          <w:szCs w:val="32"/>
        </w:rPr>
      </w:pPr>
      <w:r>
        <w:rPr>
          <w:rFonts w:ascii="仿宋_GB2312"/>
          <w:b/>
          <w:color w:val="000000"/>
          <w:szCs w:val="32"/>
        </w:rPr>
        <w:t>3.</w:t>
      </w:r>
      <w:r>
        <w:rPr>
          <w:rFonts w:hint="eastAsia" w:ascii="仿宋_GB2312"/>
          <w:b/>
          <w:color w:val="000000"/>
          <w:szCs w:val="32"/>
        </w:rPr>
        <w:t>公务接待费支出</w:t>
      </w:r>
      <w:r>
        <w:rPr>
          <w:rFonts w:hint="eastAsia" w:ascii="仿宋_GB2312"/>
          <w:color w:val="000000"/>
          <w:szCs w:val="32"/>
          <w:lang w:val="en-US" w:eastAsia="zh-CN"/>
        </w:rPr>
        <w:t>0.0926</w:t>
      </w:r>
      <w:r>
        <w:rPr>
          <w:rFonts w:hint="eastAsia" w:ascii="仿宋_GB2312"/>
          <w:color w:val="000000"/>
          <w:szCs w:val="32"/>
        </w:rPr>
        <w:t>万元，</w:t>
      </w:r>
      <w:r>
        <w:rPr>
          <w:rStyle w:val="29"/>
          <w:rFonts w:hint="eastAsia" w:ascii="仿宋" w:hAnsi="仿宋" w:eastAsia="仿宋"/>
          <w:bCs w:val="0"/>
          <w:color w:val="000000"/>
          <w:szCs w:val="32"/>
        </w:rPr>
        <w:t>完成预算100</w:t>
      </w:r>
      <w:r>
        <w:rPr>
          <w:rStyle w:val="29"/>
          <w:rFonts w:ascii="仿宋" w:hAnsi="仿宋" w:eastAsia="仿宋"/>
          <w:bCs w:val="0"/>
          <w:color w:val="000000"/>
          <w:szCs w:val="32"/>
        </w:rPr>
        <w:t>%</w:t>
      </w:r>
      <w:r>
        <w:rPr>
          <w:rStyle w:val="29"/>
          <w:rFonts w:hint="eastAsia" w:ascii="仿宋" w:hAnsi="仿宋" w:eastAsia="仿宋"/>
          <w:bCs w:val="0"/>
          <w:color w:val="000000"/>
          <w:szCs w:val="32"/>
        </w:rPr>
        <w:t>。</w:t>
      </w:r>
    </w:p>
    <w:p>
      <w:pPr>
        <w:spacing w:line="560" w:lineRule="exact"/>
        <w:ind w:firstLine="643" w:firstLineChars="200"/>
        <w:rPr>
          <w:rFonts w:ascii="仿宋_GB2312"/>
          <w:color w:val="000000"/>
          <w:szCs w:val="32"/>
        </w:rPr>
      </w:pPr>
      <w:r>
        <w:rPr>
          <w:rFonts w:hint="eastAsia" w:ascii="仿宋" w:hAnsi="仿宋" w:eastAsia="仿宋"/>
          <w:b/>
          <w:color w:val="000000"/>
          <w:szCs w:val="32"/>
        </w:rPr>
        <w:t>外事接待支出</w:t>
      </w:r>
      <w:r>
        <w:rPr>
          <w:rFonts w:hint="eastAsia" w:ascii="仿宋" w:hAnsi="仿宋" w:eastAsia="仿宋"/>
          <w:color w:val="000000"/>
          <w:szCs w:val="32"/>
        </w:rPr>
        <w:t>0</w:t>
      </w:r>
      <w:r>
        <w:rPr>
          <w:rFonts w:hint="eastAsia" w:ascii="仿宋_GB2312"/>
          <w:color w:val="000000"/>
          <w:szCs w:val="32"/>
        </w:rPr>
        <w:t>万元，外事接待0批次，0人，共计支出0万元。</w:t>
      </w:r>
      <w:r>
        <w:rPr>
          <w:rFonts w:ascii="仿宋_GB2312"/>
          <w:color w:val="000000"/>
          <w:szCs w:val="32"/>
        </w:rPr>
        <w:t xml:space="preserve"> </w:t>
      </w:r>
    </w:p>
    <w:p>
      <w:pPr>
        <w:spacing w:line="560" w:lineRule="exact"/>
        <w:ind w:firstLine="640"/>
        <w:outlineLvl w:val="1"/>
        <w:rPr>
          <w:rFonts w:ascii="黑体" w:eastAsia="黑体"/>
          <w:color w:val="000000"/>
          <w:szCs w:val="32"/>
        </w:rPr>
      </w:pPr>
      <w:bookmarkStart w:id="56" w:name="_Toc15396610"/>
      <w:bookmarkStart w:id="57" w:name="_Toc15377218"/>
    </w:p>
    <w:p>
      <w:pPr>
        <w:spacing w:line="560" w:lineRule="exact"/>
        <w:ind w:firstLine="640"/>
        <w:outlineLvl w:val="1"/>
        <w:rPr>
          <w:rStyle w:val="51"/>
          <w:rFonts w:ascii="黑体" w:hAnsi="黑体" w:eastAsia="黑体"/>
        </w:rPr>
      </w:pPr>
      <w:bookmarkStart w:id="58" w:name="_Toc49975936"/>
      <w:bookmarkStart w:id="59" w:name="_Toc49976123"/>
      <w:r>
        <w:rPr>
          <w:rFonts w:hint="eastAsia" w:ascii="黑体" w:eastAsia="黑体"/>
          <w:color w:val="000000"/>
          <w:szCs w:val="32"/>
        </w:rPr>
        <w:t>八、</w:t>
      </w:r>
      <w:r>
        <w:rPr>
          <w:rStyle w:val="51"/>
          <w:rFonts w:hint="eastAsia" w:ascii="黑体" w:hAnsi="黑体" w:eastAsia="黑体"/>
        </w:rPr>
        <w:t>政府性基金预算支出决算情况说明</w:t>
      </w:r>
      <w:bookmarkEnd w:id="56"/>
      <w:bookmarkEnd w:id="57"/>
      <w:bookmarkEnd w:id="58"/>
      <w:bookmarkEnd w:id="59"/>
    </w:p>
    <w:p>
      <w:pPr>
        <w:spacing w:line="560" w:lineRule="exact"/>
        <w:ind w:firstLine="640"/>
        <w:rPr>
          <w:rFonts w:ascii="仿宋_GB2312"/>
          <w:color w:val="000000"/>
          <w:szCs w:val="32"/>
        </w:rPr>
      </w:pPr>
      <w:r>
        <w:rPr>
          <w:rFonts w:ascii="仿宋_GB2312"/>
          <w:color w:val="000000"/>
          <w:szCs w:val="32"/>
        </w:rPr>
        <w:t>20</w:t>
      </w:r>
      <w:r>
        <w:rPr>
          <w:rFonts w:hint="eastAsia" w:ascii="仿宋_GB2312"/>
          <w:color w:val="000000"/>
          <w:szCs w:val="32"/>
        </w:rPr>
        <w:t>20年政府性基金预算拨款支出0万元。</w:t>
      </w:r>
    </w:p>
    <w:p>
      <w:pPr>
        <w:spacing w:line="560" w:lineRule="exact"/>
        <w:ind w:firstLine="640"/>
        <w:rPr>
          <w:rFonts w:ascii="仿宋_GB2312"/>
          <w:color w:val="000000"/>
          <w:szCs w:val="32"/>
        </w:rPr>
      </w:pPr>
    </w:p>
    <w:p>
      <w:pPr>
        <w:numPr>
          <w:ilvl w:val="0"/>
          <w:numId w:val="4"/>
        </w:numPr>
        <w:spacing w:line="560" w:lineRule="exact"/>
        <w:ind w:firstLine="640"/>
        <w:outlineLvl w:val="1"/>
        <w:rPr>
          <w:rStyle w:val="51"/>
          <w:rFonts w:ascii="黑体" w:hAnsi="黑体" w:eastAsia="黑体"/>
          <w:b w:val="0"/>
        </w:rPr>
      </w:pPr>
      <w:bookmarkStart w:id="60" w:name="_Toc15377219"/>
      <w:bookmarkStart w:id="61" w:name="_Toc15396611"/>
      <w:bookmarkStart w:id="62" w:name="_Toc49975937"/>
      <w:bookmarkStart w:id="63" w:name="_Toc49976124"/>
      <w:r>
        <w:rPr>
          <w:rStyle w:val="51"/>
          <w:rFonts w:hint="eastAsia" w:ascii="黑体" w:hAnsi="黑体" w:eastAsia="黑体"/>
        </w:rPr>
        <w:t>国有资本经营预算支出决算情况说明</w:t>
      </w:r>
      <w:bookmarkEnd w:id="60"/>
      <w:bookmarkEnd w:id="61"/>
      <w:bookmarkEnd w:id="62"/>
      <w:bookmarkEnd w:id="63"/>
    </w:p>
    <w:p>
      <w:pPr>
        <w:spacing w:line="560" w:lineRule="exact"/>
        <w:ind w:firstLine="640"/>
        <w:rPr>
          <w:rFonts w:ascii="仿宋_GB2312"/>
          <w:color w:val="000000"/>
          <w:szCs w:val="32"/>
        </w:rPr>
      </w:pPr>
      <w:r>
        <w:rPr>
          <w:rFonts w:ascii="仿宋_GB2312"/>
          <w:color w:val="000000"/>
          <w:szCs w:val="32"/>
        </w:rPr>
        <w:t>20</w:t>
      </w:r>
      <w:r>
        <w:rPr>
          <w:rFonts w:hint="eastAsia" w:ascii="仿宋_GB2312"/>
          <w:color w:val="000000"/>
          <w:szCs w:val="32"/>
        </w:rPr>
        <w:t>20年国有资本经营预算拨款支出0万元。</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800" w:firstLineChars="250"/>
        <w:outlineLvl w:val="1"/>
        <w:rPr>
          <w:rStyle w:val="51"/>
          <w:rFonts w:ascii="黑体" w:hAnsi="黑体" w:eastAsia="黑体"/>
        </w:rPr>
      </w:pPr>
      <w:bookmarkStart w:id="64" w:name="_Toc15396612"/>
      <w:bookmarkStart w:id="65" w:name="_Toc15377221"/>
      <w:bookmarkStart w:id="66" w:name="_Toc49975938"/>
      <w:bookmarkStart w:id="67" w:name="_Toc49976125"/>
      <w:r>
        <w:rPr>
          <w:rFonts w:hint="eastAsia" w:ascii="黑体" w:hAnsi="黑体" w:eastAsia="黑体"/>
          <w:color w:val="000000"/>
          <w:szCs w:val="32"/>
        </w:rPr>
        <w:t>十</w:t>
      </w:r>
      <w:r>
        <w:rPr>
          <w:rStyle w:val="51"/>
          <w:rFonts w:hint="eastAsia" w:ascii="黑体" w:hAnsi="黑体" w:eastAsia="黑体"/>
        </w:rPr>
        <w:t>、其他重要事项的情况说明</w:t>
      </w:r>
      <w:bookmarkEnd w:id="64"/>
      <w:bookmarkEnd w:id="65"/>
      <w:bookmarkEnd w:id="66"/>
      <w:bookmarkEnd w:id="67"/>
    </w:p>
    <w:p>
      <w:pPr>
        <w:spacing w:line="560" w:lineRule="exact"/>
        <w:ind w:firstLine="643" w:firstLineChars="200"/>
        <w:outlineLvl w:val="2"/>
        <w:rPr>
          <w:rFonts w:ascii="仿宋" w:hAnsi="仿宋" w:eastAsia="仿宋"/>
          <w:color w:val="000000"/>
          <w:szCs w:val="32"/>
        </w:rPr>
      </w:pPr>
      <w:bookmarkStart w:id="68" w:name="_Toc15377222"/>
      <w:r>
        <w:rPr>
          <w:rFonts w:hint="eastAsia" w:ascii="仿宋" w:hAnsi="仿宋" w:eastAsia="仿宋"/>
          <w:b/>
          <w:color w:val="000000"/>
          <w:szCs w:val="32"/>
        </w:rPr>
        <w:t>（一）机关运行经费支出情况</w:t>
      </w:r>
      <w:bookmarkEnd w:id="68"/>
    </w:p>
    <w:p>
      <w:pPr>
        <w:spacing w:line="560" w:lineRule="exact"/>
        <w:ind w:firstLine="640" w:firstLineChars="200"/>
        <w:rPr>
          <w:rFonts w:hint="eastAsia" w:ascii="仿宋_GB2312" w:eastAsia="仿宋_GB2312"/>
          <w:color w:val="000000"/>
          <w:szCs w:val="32"/>
          <w:lang w:eastAsia="zh-CN"/>
        </w:rPr>
      </w:pPr>
      <w:r>
        <w:rPr>
          <w:rFonts w:ascii="仿宋_GB2312"/>
          <w:color w:val="000000"/>
          <w:szCs w:val="32"/>
        </w:rPr>
        <w:t>20</w:t>
      </w:r>
      <w:r>
        <w:rPr>
          <w:rFonts w:hint="eastAsia" w:ascii="仿宋_GB2312"/>
          <w:color w:val="000000"/>
          <w:szCs w:val="32"/>
        </w:rPr>
        <w:t>20年，市委政法委机关运行经费支出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color w:val="000000"/>
          <w:szCs w:val="32"/>
          <w:lang w:eastAsia="zh-CN"/>
        </w:rPr>
        <w:t>。</w:t>
      </w:r>
    </w:p>
    <w:p>
      <w:pPr>
        <w:autoSpaceDE w:val="0"/>
        <w:autoSpaceDN w:val="0"/>
        <w:adjustRightInd w:val="0"/>
        <w:spacing w:line="560" w:lineRule="exact"/>
        <w:ind w:firstLine="643" w:firstLineChars="200"/>
        <w:jc w:val="left"/>
        <w:outlineLvl w:val="2"/>
        <w:rPr>
          <w:rFonts w:ascii="仿宋" w:hAnsi="仿宋" w:eastAsia="仿宋"/>
          <w:b/>
          <w:color w:val="000000"/>
          <w:szCs w:val="32"/>
        </w:rPr>
      </w:pPr>
      <w:bookmarkStart w:id="69" w:name="_Toc15377223"/>
      <w:r>
        <w:rPr>
          <w:rFonts w:hint="eastAsia" w:ascii="仿宋" w:hAnsi="仿宋" w:eastAsia="仿宋"/>
          <w:b/>
          <w:color w:val="000000"/>
          <w:szCs w:val="32"/>
        </w:rPr>
        <w:t>（二）政府采购支出情况</w:t>
      </w:r>
      <w:bookmarkEnd w:id="69"/>
    </w:p>
    <w:p>
      <w:pPr>
        <w:spacing w:line="560" w:lineRule="exact"/>
        <w:ind w:firstLine="640" w:firstLineChars="200"/>
        <w:rPr>
          <w:rFonts w:ascii="仿宋_GB2312"/>
          <w:color w:val="000000"/>
          <w:szCs w:val="32"/>
        </w:rPr>
      </w:pPr>
      <w:r>
        <w:rPr>
          <w:rFonts w:ascii="仿宋_GB2312"/>
          <w:color w:val="000000"/>
          <w:szCs w:val="32"/>
        </w:rPr>
        <w:t>20</w:t>
      </w:r>
      <w:r>
        <w:rPr>
          <w:rFonts w:hint="eastAsia" w:ascii="仿宋_GB2312"/>
          <w:color w:val="000000"/>
          <w:szCs w:val="32"/>
        </w:rPr>
        <w:t>20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spacing w:line="560" w:lineRule="exact"/>
        <w:ind w:firstLine="643" w:firstLineChars="200"/>
        <w:rPr>
          <w:rFonts w:ascii="仿宋" w:hAnsi="仿宋" w:eastAsia="仿宋"/>
          <w:b/>
          <w:color w:val="FF0000"/>
          <w:szCs w:val="32"/>
        </w:rPr>
      </w:pPr>
    </w:p>
    <w:p>
      <w:pPr>
        <w:autoSpaceDE w:val="0"/>
        <w:autoSpaceDN w:val="0"/>
        <w:adjustRightInd w:val="0"/>
        <w:spacing w:line="560" w:lineRule="exact"/>
        <w:ind w:firstLine="643" w:firstLineChars="200"/>
        <w:jc w:val="left"/>
        <w:outlineLvl w:val="2"/>
        <w:rPr>
          <w:rFonts w:ascii="仿宋" w:hAnsi="仿宋" w:eastAsia="仿宋"/>
          <w:b/>
          <w:color w:val="000000"/>
          <w:szCs w:val="32"/>
        </w:rPr>
      </w:pPr>
      <w:bookmarkStart w:id="70" w:name="_Toc15377224"/>
      <w:r>
        <w:rPr>
          <w:rFonts w:hint="eastAsia" w:ascii="仿宋" w:hAnsi="仿宋" w:eastAsia="仿宋"/>
          <w:b/>
          <w:color w:val="000000"/>
          <w:szCs w:val="32"/>
        </w:rPr>
        <w:t>（三）国有资产占有使用情况</w:t>
      </w:r>
      <w:bookmarkEnd w:id="70"/>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ascii="仿宋_GB2312"/>
          <w:color w:val="000000"/>
          <w:szCs w:val="32"/>
        </w:rPr>
        <w:t>20</w:t>
      </w:r>
      <w:r>
        <w:rPr>
          <w:rFonts w:hint="eastAsia" w:ascii="仿宋_GB2312"/>
          <w:color w:val="000000"/>
          <w:szCs w:val="32"/>
        </w:rPr>
        <w:t>20年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w:t>
      </w:r>
      <w:r>
        <w:rPr>
          <w:rFonts w:hint="eastAsia" w:ascii="仿宋_GB2312"/>
          <w:color w:val="000000"/>
          <w:szCs w:val="32"/>
          <w:lang w:val="en-US" w:eastAsia="zh-CN"/>
        </w:rPr>
        <w:t>0</w:t>
      </w:r>
      <w:r>
        <w:rPr>
          <w:rFonts w:hint="eastAsia" w:ascii="仿宋_GB2312"/>
          <w:color w:val="000000"/>
          <w:szCs w:val="32"/>
        </w:rPr>
        <w:t>辆，其中：主要领导干部用车</w:t>
      </w:r>
      <w:r>
        <w:rPr>
          <w:rFonts w:hint="eastAsia" w:ascii="仿宋_GB2312"/>
          <w:color w:val="000000"/>
          <w:szCs w:val="32"/>
          <w:lang w:val="en-US" w:eastAsia="zh-CN"/>
        </w:rPr>
        <w:t>0</w:t>
      </w:r>
      <w:r>
        <w:rPr>
          <w:rFonts w:hint="eastAsia" w:ascii="仿宋_GB2312"/>
          <w:color w:val="000000"/>
          <w:szCs w:val="32"/>
        </w:rPr>
        <w:t>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560" w:lineRule="exact"/>
        <w:ind w:firstLine="643" w:firstLineChars="200"/>
        <w:jc w:val="left"/>
        <w:outlineLvl w:val="2"/>
        <w:rPr>
          <w:rFonts w:ascii="仿宋" w:hAnsi="仿宋" w:eastAsia="仿宋"/>
          <w:b/>
          <w:color w:val="000000"/>
          <w:szCs w:val="32"/>
        </w:rPr>
      </w:pPr>
      <w:r>
        <w:rPr>
          <w:rFonts w:hint="eastAsia" w:ascii="仿宋" w:hAnsi="仿宋" w:eastAsia="仿宋"/>
          <w:b/>
          <w:color w:val="000000"/>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2020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numPr>
          <w:ilvl w:val="0"/>
          <w:numId w:val="5"/>
        </w:numPr>
        <w:spacing w:line="560" w:lineRule="exact"/>
        <w:ind w:firstLine="640" w:firstLineChars="200"/>
      </w:pPr>
      <w:r>
        <w:rPr>
          <w:rFonts w:hint="eastAsia" w:ascii="楷体_GB2312" w:hAnsi="楷体_GB2312" w:eastAsia="楷体_GB2312" w:cs="楷体_GB2312"/>
          <w:szCs w:val="32"/>
        </w:rPr>
        <w:t>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本部门在2020年度部门决算中反映“</w:t>
      </w:r>
      <w:r>
        <w:rPr>
          <w:rFonts w:hint="eastAsia" w:ascii="仿宋_GB2312" w:hAnsi="仿宋_GB2312" w:cs="仿宋_GB2312"/>
          <w:szCs w:val="32"/>
          <w:lang w:eastAsia="zh-CN"/>
        </w:rPr>
        <w:t>自贡政法</w:t>
      </w:r>
      <w:r>
        <w:rPr>
          <w:rFonts w:hint="eastAsia" w:ascii="仿宋_GB2312" w:hAnsi="仿宋_GB2312" w:cs="仿宋_GB2312"/>
          <w:szCs w:val="32"/>
        </w:rPr>
        <w:t>项目”等项目绩效目标实际完成情况。</w:t>
      </w:r>
    </w:p>
    <w:p>
      <w:pPr>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zCs w:val="32"/>
        </w:rPr>
        <w:t>（5）</w:t>
      </w:r>
      <w:r>
        <w:rPr>
          <w:rFonts w:hint="eastAsia" w:ascii="仿宋_GB2312" w:hAnsi="仿宋_GB2312" w:cs="仿宋_GB2312"/>
          <w:color w:val="000000"/>
          <w:szCs w:val="32"/>
          <w:lang w:eastAsia="zh-CN"/>
        </w:rPr>
        <w:t>自贡政法</w:t>
      </w:r>
      <w:r>
        <w:rPr>
          <w:rFonts w:hint="eastAsia" w:ascii="仿宋_GB2312" w:hAnsi="仿宋_GB2312" w:cs="仿宋_GB2312"/>
          <w:color w:val="000000"/>
          <w:szCs w:val="32"/>
        </w:rPr>
        <w:t>工作绩效目标完成情况综述。全年预算数</w:t>
      </w:r>
      <w:r>
        <w:rPr>
          <w:rFonts w:hint="eastAsia" w:ascii="仿宋_GB2312" w:hAnsi="仿宋_GB2312" w:cs="仿宋_GB2312"/>
          <w:color w:val="000000"/>
          <w:szCs w:val="32"/>
          <w:lang w:val="en-US" w:eastAsia="zh-CN"/>
        </w:rPr>
        <w:t>8.1</w:t>
      </w:r>
      <w:r>
        <w:rPr>
          <w:rFonts w:hint="eastAsia" w:ascii="仿宋_GB2312" w:hAnsi="仿宋_GB2312" w:cs="仿宋_GB2312"/>
          <w:color w:val="000000"/>
          <w:szCs w:val="32"/>
        </w:rPr>
        <w:t>万元，执行数为</w:t>
      </w:r>
      <w:r>
        <w:rPr>
          <w:rFonts w:hint="eastAsia" w:ascii="仿宋_GB2312" w:hAnsi="仿宋_GB2312" w:cs="仿宋_GB2312"/>
          <w:color w:val="000000"/>
          <w:szCs w:val="32"/>
          <w:lang w:val="en-US" w:eastAsia="zh-CN"/>
        </w:rPr>
        <w:t>8.1</w:t>
      </w:r>
      <w:r>
        <w:rPr>
          <w:rFonts w:hint="eastAsia" w:ascii="仿宋_GB2312" w:hAnsi="仿宋_GB2312" w:cs="仿宋_GB2312"/>
          <w:color w:val="000000"/>
          <w:szCs w:val="32"/>
        </w:rPr>
        <w:t>万元，完成预算的</w:t>
      </w:r>
      <w:r>
        <w:rPr>
          <w:rFonts w:ascii="仿宋_GB2312" w:hAnsi="仿宋_GB2312" w:cs="仿宋_GB2312"/>
          <w:color w:val="000000"/>
          <w:szCs w:val="32"/>
        </w:rPr>
        <w:t>100%</w:t>
      </w:r>
      <w:r>
        <w:rPr>
          <w:rFonts w:hint="eastAsia" w:ascii="仿宋_GB2312" w:hAnsi="仿宋_GB2312" w:cs="仿宋_GB2312"/>
          <w:color w:val="000000"/>
          <w:szCs w:val="32"/>
        </w:rPr>
        <w:t>。</w:t>
      </w:r>
      <w:r>
        <w:rPr>
          <w:rFonts w:hint="eastAsia" w:ascii="仿宋_GB2312" w:hAnsi="仿宋"/>
          <w:szCs w:val="32"/>
        </w:rPr>
        <w:t>宣传全市政法系统工作，推进普法工作，营造学法守法氛围，年度刊发《自贡政法》4-5期。</w:t>
      </w:r>
    </w:p>
    <w:p>
      <w:pPr>
        <w:rPr>
          <w:rFonts w:hint="eastAsia"/>
        </w:rPr>
      </w:pPr>
    </w:p>
    <w:tbl>
      <w:tblPr>
        <w:tblStyle w:val="26"/>
        <w:tblpPr w:leftFromText="180" w:rightFromText="180" w:vertAnchor="text" w:horzAnchor="page" w:tblpXSpec="center" w:tblpY="423"/>
        <w:tblOverlap w:val="never"/>
        <w:tblW w:w="9371" w:type="dxa"/>
        <w:jc w:val="center"/>
        <w:tblLayout w:type="fixed"/>
        <w:tblCellMar>
          <w:top w:w="0" w:type="dxa"/>
          <w:left w:w="0" w:type="dxa"/>
          <w:bottom w:w="0" w:type="dxa"/>
          <w:right w:w="0" w:type="dxa"/>
        </w:tblCellMar>
      </w:tblPr>
      <w:tblGrid>
        <w:gridCol w:w="384"/>
        <w:gridCol w:w="2003"/>
        <w:gridCol w:w="1257"/>
        <w:gridCol w:w="1450"/>
        <w:gridCol w:w="2009"/>
        <w:gridCol w:w="2268"/>
      </w:tblGrid>
      <w:tr>
        <w:tblPrEx>
          <w:tblCellMar>
            <w:top w:w="0" w:type="dxa"/>
            <w:left w:w="0" w:type="dxa"/>
            <w:bottom w:w="0" w:type="dxa"/>
            <w:right w:w="0" w:type="dxa"/>
          </w:tblCellMar>
        </w:tblPrEx>
        <w:trPr>
          <w:trHeight w:val="1185" w:hRule="atLeast"/>
          <w:jc w:val="center"/>
        </w:trPr>
        <w:tc>
          <w:tcPr>
            <w:tcW w:w="9371" w:type="dxa"/>
            <w:gridSpan w:val="6"/>
            <w:tcBorders>
              <w:top w:val="nil"/>
              <w:left w:val="nil"/>
              <w:bottom w:val="nil"/>
              <w:right w:val="nil"/>
            </w:tcBorders>
            <w:tcMar>
              <w:top w:w="15" w:type="dxa"/>
              <w:left w:w="15" w:type="dxa"/>
              <w:right w:w="15" w:type="dxa"/>
            </w:tcMar>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316" w:hRule="atLeast"/>
          <w:jc w:val="center"/>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仿宋_GB2312" w:cs="宋体"/>
                <w:color w:val="000000"/>
                <w:sz w:val="24"/>
                <w:lang w:eastAsia="zh-CN"/>
              </w:rPr>
            </w:pPr>
            <w:r>
              <w:rPr>
                <w:rFonts w:hint="eastAsia" w:ascii="宋体" w:hAnsi="宋体" w:cs="宋体"/>
                <w:color w:val="000000"/>
                <w:kern w:val="0"/>
                <w:sz w:val="24"/>
              </w:rPr>
              <w:t>1.</w:t>
            </w:r>
            <w:r>
              <w:rPr>
                <w:rFonts w:hint="eastAsia" w:ascii="宋体" w:hAnsi="宋体" w:cs="宋体"/>
                <w:color w:val="000000"/>
                <w:kern w:val="0"/>
                <w:sz w:val="24"/>
                <w:lang w:eastAsia="zh-CN"/>
              </w:rPr>
              <w:t>自贡政法</w:t>
            </w:r>
          </w:p>
        </w:tc>
      </w:tr>
      <w:tr>
        <w:tblPrEx>
          <w:tblCellMar>
            <w:top w:w="0" w:type="dxa"/>
            <w:left w:w="0" w:type="dxa"/>
            <w:bottom w:w="0" w:type="dxa"/>
            <w:right w:w="0" w:type="dxa"/>
          </w:tblCellMar>
        </w:tblPrEx>
        <w:trPr>
          <w:trHeight w:val="316" w:hRule="atLeast"/>
          <w:jc w:val="center"/>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仿宋_GB2312" w:cs="宋体"/>
                <w:color w:val="000000"/>
                <w:sz w:val="24"/>
                <w:lang w:eastAsia="zh-CN"/>
              </w:rPr>
            </w:pPr>
            <w:r>
              <w:rPr>
                <w:rFonts w:hint="eastAsia" w:ascii="宋体" w:hAnsi="宋体" w:cs="宋体"/>
                <w:color w:val="000000"/>
                <w:sz w:val="24"/>
                <w:lang w:eastAsia="zh-CN"/>
              </w:rPr>
              <w:t>自贡市法学会</w:t>
            </w:r>
          </w:p>
        </w:tc>
      </w:tr>
      <w:tr>
        <w:tblPrEx>
          <w:tblCellMar>
            <w:top w:w="0" w:type="dxa"/>
            <w:left w:w="0" w:type="dxa"/>
            <w:bottom w:w="0" w:type="dxa"/>
            <w:right w:w="0" w:type="dxa"/>
          </w:tblCellMar>
        </w:tblPrEx>
        <w:trPr>
          <w:trHeight w:val="31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lang w:val="en-US" w:eastAsia="zh-CN"/>
              </w:rPr>
              <w:t>8.1</w:t>
            </w:r>
            <w:r>
              <w:rPr>
                <w:rFonts w:hint="eastAsia" w:ascii="宋体" w:hAnsi="宋体" w:cs="宋体"/>
                <w:color w:val="000000"/>
                <w:sz w:val="24"/>
              </w:rPr>
              <w:t>万元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lang w:val="en-US" w:eastAsia="zh-CN"/>
              </w:rPr>
              <w:t>8.1</w:t>
            </w:r>
            <w:r>
              <w:rPr>
                <w:rFonts w:hint="eastAsia" w:ascii="宋体" w:hAnsi="宋体" w:cs="宋体"/>
                <w:color w:val="000000"/>
                <w:sz w:val="24"/>
              </w:rPr>
              <w:t>万元</w:t>
            </w:r>
          </w:p>
        </w:tc>
      </w:tr>
      <w:tr>
        <w:tblPrEx>
          <w:tblCellMar>
            <w:top w:w="0" w:type="dxa"/>
            <w:left w:w="0" w:type="dxa"/>
            <w:bottom w:w="0" w:type="dxa"/>
            <w:right w:w="0" w:type="dxa"/>
          </w:tblCellMar>
        </w:tblPrEx>
        <w:trPr>
          <w:trHeight w:val="316"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lang w:val="en-US" w:eastAsia="zh-CN"/>
              </w:rPr>
              <w:t>8.1</w:t>
            </w:r>
            <w:r>
              <w:rPr>
                <w:rFonts w:hint="eastAsia" w:ascii="宋体" w:hAnsi="宋体" w:cs="宋体"/>
                <w:color w:val="000000"/>
                <w:sz w:val="24"/>
              </w:rPr>
              <w:t>万元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732"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0</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31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28"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4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宣传全市政法系统工作，推进普法工作，营造学法守法氛围，年度刊发《自贡政法》4-5期。</w:t>
            </w:r>
          </w:p>
          <w:p>
            <w:pPr>
              <w:widowControl/>
              <w:spacing w:line="240" w:lineRule="exact"/>
              <w:jc w:val="center"/>
              <w:textAlignment w:val="center"/>
              <w:rPr>
                <w:rFonts w:ascii="宋体" w:hAnsi="宋体" w:cs="宋体"/>
                <w:color w:val="000000"/>
                <w:sz w:val="24"/>
              </w:rPr>
            </w:pPr>
          </w:p>
        </w:tc>
        <w:tc>
          <w:tcPr>
            <w:tcW w:w="4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宣传全市政法系统工作，推进普法工作，营造学法守法氛围，年度刊发《自贡政法》4-5期。</w:t>
            </w:r>
          </w:p>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85" w:hRule="atLeast"/>
          <w:jc w:val="center"/>
        </w:trPr>
        <w:tc>
          <w:tcPr>
            <w:tcW w:w="3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51"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6"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3"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0" w:hRule="atLeast"/>
          <w:jc w:val="center"/>
        </w:trPr>
        <w:tc>
          <w:tcPr>
            <w:tcW w:w="3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bl>
    <w:p>
      <w:pPr>
        <w:spacing w:line="240" w:lineRule="exact"/>
        <w:rPr>
          <w:rFonts w:ascii="仿宋_GB2312" w:hAnsi="仿宋_GB2312" w:cs="仿宋_GB2312"/>
          <w:szCs w:val="32"/>
        </w:rPr>
      </w:pPr>
    </w:p>
    <w:p>
      <w:pPr>
        <w:spacing w:line="580" w:lineRule="exact"/>
        <w:rPr>
          <w:rFonts w:ascii="仿宋_GB2312" w:hAnsi="仿宋_GB2312" w:cs="仿宋_GB2312"/>
          <w:szCs w:val="32"/>
        </w:rPr>
      </w:pPr>
    </w:p>
    <w:p>
      <w:pPr>
        <w:spacing w:line="580" w:lineRule="exact"/>
        <w:rPr>
          <w:rFonts w:ascii="仿宋_GB2312" w:hAnsi="仿宋_GB2312" w:cs="仿宋_GB2312"/>
          <w:szCs w:val="32"/>
        </w:rPr>
      </w:pPr>
    </w:p>
    <w:p>
      <w:pPr>
        <w:widowControl/>
        <w:jc w:val="center"/>
        <w:rPr>
          <w:rFonts w:ascii="黑体" w:hAnsi="黑体" w:eastAsia="黑体" w:cs="宋体"/>
          <w:color w:val="000000"/>
          <w:kern w:val="0"/>
          <w:sz w:val="36"/>
          <w:szCs w:val="36"/>
        </w:rPr>
      </w:pPr>
    </w:p>
    <w:p>
      <w:pPr>
        <w:spacing w:line="580" w:lineRule="exact"/>
        <w:ind w:left="630"/>
        <w:rPr>
          <w:rFonts w:ascii="楷体_GB2312" w:hAnsi="楷体_GB2312" w:eastAsia="楷体_GB2312" w:cs="楷体_GB2312"/>
          <w:szCs w:val="32"/>
        </w:rPr>
      </w:pPr>
    </w:p>
    <w:p>
      <w:pPr>
        <w:spacing w:line="580" w:lineRule="exact"/>
        <w:ind w:left="630"/>
        <w:rPr>
          <w:rFonts w:ascii="仿宋_GB2312" w:hAnsi="仿宋_GB2312" w:cs="仿宋_GB2312"/>
          <w:szCs w:val="32"/>
        </w:rPr>
      </w:pPr>
      <w:r>
        <w:rPr>
          <w:rFonts w:hint="eastAsia" w:ascii="楷体_GB2312" w:hAnsi="楷体_GB2312" w:eastAsia="楷体_GB2312" w:cs="楷体_GB2312"/>
          <w:szCs w:val="32"/>
        </w:rPr>
        <w:t>2.部门绩效评价结果。</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本部门按要求对2020年部门整体支出绩效评价情况开展自评，《</w:t>
      </w:r>
      <w:r>
        <w:rPr>
          <w:rFonts w:hint="eastAsia" w:ascii="仿宋_GB2312" w:hAnsi="仿宋_GB2312" w:cs="仿宋_GB2312"/>
          <w:szCs w:val="32"/>
          <w:lang w:eastAsia="zh-CN"/>
        </w:rPr>
        <w:t>自贡市法学会</w:t>
      </w:r>
      <w:r>
        <w:rPr>
          <w:rFonts w:hint="eastAsia" w:ascii="仿宋_GB2312" w:hAnsi="仿宋_GB2312" w:cs="仿宋_GB2312"/>
          <w:szCs w:val="32"/>
        </w:rPr>
        <w:t>2020年部门整体支出绩效评价报告》见附件（附件1）。</w:t>
      </w:r>
    </w:p>
    <w:p>
      <w:pPr>
        <w:spacing w:line="580" w:lineRule="exact"/>
        <w:ind w:firstLine="640" w:firstLineChars="200"/>
        <w:rPr>
          <w:rFonts w:ascii="仿宋_GB2312"/>
          <w:b/>
          <w:color w:val="000000"/>
          <w:szCs w:val="32"/>
        </w:rPr>
      </w:pPr>
      <w:r>
        <w:rPr>
          <w:rFonts w:hint="eastAsia" w:ascii="仿宋_GB2312" w:hAnsi="仿宋_GB2312" w:cs="仿宋_GB2312"/>
          <w:szCs w:val="32"/>
        </w:rPr>
        <w:t>本部门自行组织对平安建设项目开展了绩效评价，《</w:t>
      </w:r>
      <w:r>
        <w:rPr>
          <w:rFonts w:hint="eastAsia" w:ascii="仿宋_GB2312" w:hAnsi="仿宋_GB2312" w:cs="仿宋_GB2312"/>
          <w:szCs w:val="32"/>
          <w:lang w:eastAsia="zh-CN"/>
        </w:rPr>
        <w:t>自贡政法</w:t>
      </w:r>
      <w:r>
        <w:rPr>
          <w:rFonts w:hint="eastAsia" w:ascii="仿宋_GB2312" w:hAnsi="仿宋_GB2312" w:cs="仿宋_GB2312"/>
          <w:szCs w:val="32"/>
        </w:rPr>
        <w:t>项目2020年绩效评价报告》等见附件（附件2）。</w:t>
      </w:r>
    </w:p>
    <w:p>
      <w:pPr>
        <w:widowControl/>
        <w:jc w:val="left"/>
        <w:rPr>
          <w:rFonts w:ascii="仿宋_GB2312"/>
          <w:b/>
          <w:color w:val="000000"/>
          <w:szCs w:val="32"/>
        </w:rPr>
      </w:pPr>
      <w:r>
        <w:rPr>
          <w:rFonts w:ascii="仿宋_GB2312"/>
          <w:b/>
          <w:color w:val="000000"/>
          <w:szCs w:val="32"/>
        </w:rPr>
        <w:br w:type="page"/>
      </w:r>
    </w:p>
    <w:p>
      <w:pPr>
        <w:numPr>
          <w:ilvl w:val="0"/>
          <w:numId w:val="6"/>
        </w:numPr>
        <w:spacing w:line="600" w:lineRule="exact"/>
        <w:jc w:val="center"/>
        <w:outlineLvl w:val="0"/>
        <w:rPr>
          <w:rStyle w:val="50"/>
          <w:rFonts w:ascii="黑体" w:hAnsi="黑体" w:eastAsia="黑体"/>
          <w:b w:val="0"/>
        </w:rPr>
      </w:pPr>
      <w:bookmarkStart w:id="71" w:name="_Toc15396613"/>
      <w:bookmarkStart w:id="72" w:name="_Toc15377225"/>
      <w:bookmarkStart w:id="73" w:name="_Toc49975939"/>
      <w:bookmarkStart w:id="74" w:name="_Toc49976126"/>
      <w:r>
        <w:rPr>
          <w:rStyle w:val="50"/>
          <w:rFonts w:hint="eastAsia" w:ascii="黑体" w:hAnsi="黑体" w:eastAsia="黑体"/>
        </w:rPr>
        <w:t>名词解释</w:t>
      </w:r>
      <w:bookmarkEnd w:id="71"/>
      <w:bookmarkEnd w:id="72"/>
      <w:bookmarkEnd w:id="73"/>
      <w:bookmarkEnd w:id="74"/>
    </w:p>
    <w:p>
      <w:pPr>
        <w:spacing w:line="600" w:lineRule="exact"/>
        <w:jc w:val="left"/>
        <w:rPr>
          <w:rFonts w:ascii="宋体"/>
          <w:b/>
          <w:color w:val="000000"/>
          <w:sz w:val="44"/>
          <w:szCs w:val="44"/>
        </w:rPr>
      </w:pPr>
    </w:p>
    <w:p>
      <w:pPr>
        <w:pStyle w:val="5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color w:val="000000"/>
          <w:szCs w:val="32"/>
        </w:rPr>
      </w:pPr>
      <w:r>
        <w:rPr>
          <w:rFonts w:hint="eastAsia" w:ascii="仿宋_GB2312"/>
          <w:color w:val="000000"/>
          <w:szCs w:val="32"/>
        </w:rPr>
        <w:t>9</w:t>
      </w:r>
      <w:r>
        <w:rPr>
          <w:rFonts w:ascii="仿宋_GB2312"/>
          <w:color w:val="000000"/>
          <w:szCs w:val="32"/>
        </w:rPr>
        <w:t>.</w:t>
      </w:r>
      <w:r>
        <w:rPr>
          <w:rFonts w:hint="eastAsia" w:ascii="仿宋_GB2312"/>
          <w:color w:val="000000"/>
          <w:szCs w:val="32"/>
        </w:rPr>
        <w:t>公共安全：</w:t>
      </w:r>
    </w:p>
    <w:p>
      <w:pPr>
        <w:ind w:firstLine="640" w:firstLineChars="200"/>
        <w:rPr>
          <w:rFonts w:ascii="仿宋_GB2312"/>
          <w:color w:val="000000"/>
          <w:szCs w:val="32"/>
        </w:rPr>
      </w:pPr>
      <w:r>
        <w:rPr>
          <w:rFonts w:hint="eastAsia" w:ascii="仿宋_GB2312"/>
          <w:color w:val="000000"/>
          <w:szCs w:val="32"/>
        </w:rPr>
        <w:t>（1）2040201行政运行：指行政单位的基本支出；</w:t>
      </w:r>
    </w:p>
    <w:p>
      <w:pPr>
        <w:ind w:firstLine="640" w:firstLineChars="200"/>
        <w:rPr>
          <w:rFonts w:ascii="仿宋_GB2312"/>
          <w:color w:val="000000"/>
          <w:szCs w:val="32"/>
        </w:rPr>
      </w:pPr>
      <w:r>
        <w:rPr>
          <w:rFonts w:hint="eastAsia" w:ascii="仿宋_GB2312"/>
          <w:color w:val="000000"/>
          <w:szCs w:val="32"/>
        </w:rPr>
        <w:t>（2）2040202一般行政管理事务：指行政单位未单独设置项级科目的其他项目支出；</w:t>
      </w:r>
    </w:p>
    <w:p>
      <w:pPr>
        <w:ind w:firstLine="640" w:firstLineChars="200"/>
        <w:rPr>
          <w:rFonts w:ascii="仿宋_GB2312"/>
          <w:color w:val="000000"/>
          <w:szCs w:val="32"/>
        </w:rPr>
      </w:pPr>
      <w:r>
        <w:rPr>
          <w:rFonts w:hint="eastAsia" w:ascii="仿宋_GB2312"/>
          <w:color w:val="000000"/>
          <w:szCs w:val="32"/>
        </w:rPr>
        <w:t>（3）2040250事业运行：指事业单位的基本支出；</w:t>
      </w:r>
    </w:p>
    <w:p>
      <w:pPr>
        <w:ind w:firstLine="640" w:firstLineChars="200"/>
        <w:rPr>
          <w:rFonts w:ascii="仿宋_GB2312"/>
          <w:color w:val="000000"/>
          <w:szCs w:val="32"/>
        </w:rPr>
      </w:pPr>
      <w:r>
        <w:rPr>
          <w:rFonts w:hint="eastAsia" w:ascii="仿宋_GB2312"/>
          <w:color w:val="000000"/>
          <w:szCs w:val="32"/>
        </w:rPr>
        <w:t>（4）2040299其他公安支出：指除上述项目以外其他用于公安方面的支出。</w:t>
      </w:r>
    </w:p>
    <w:p>
      <w:pPr>
        <w:ind w:firstLine="640" w:firstLineChars="200"/>
        <w:rPr>
          <w:rFonts w:ascii="仿宋_GB2312"/>
          <w:color w:val="000000"/>
          <w:szCs w:val="32"/>
        </w:rPr>
      </w:pPr>
      <w:r>
        <w:rPr>
          <w:rFonts w:ascii="仿宋_GB2312"/>
          <w:color w:val="000000"/>
          <w:szCs w:val="32"/>
        </w:rPr>
        <w:t>1</w:t>
      </w:r>
      <w:r>
        <w:rPr>
          <w:rFonts w:hint="eastAsia" w:ascii="仿宋_GB2312"/>
          <w:color w:val="000000"/>
          <w:szCs w:val="32"/>
        </w:rPr>
        <w:t>0</w:t>
      </w:r>
      <w:r>
        <w:rPr>
          <w:rFonts w:ascii="仿宋_GB2312"/>
          <w:color w:val="000000"/>
          <w:szCs w:val="32"/>
        </w:rPr>
        <w:t>.</w:t>
      </w:r>
      <w:r>
        <w:rPr>
          <w:rFonts w:hint="eastAsia" w:ascii="仿宋_GB2312"/>
          <w:color w:val="000000"/>
          <w:szCs w:val="32"/>
        </w:rPr>
        <w:t>社会保障和就业：</w:t>
      </w:r>
    </w:p>
    <w:p>
      <w:pPr>
        <w:ind w:firstLine="640" w:firstLineChars="200"/>
        <w:rPr>
          <w:rFonts w:ascii="仿宋_GB2312"/>
          <w:color w:val="000000"/>
          <w:szCs w:val="32"/>
        </w:rPr>
      </w:pPr>
      <w:r>
        <w:rPr>
          <w:rFonts w:hint="eastAsia" w:ascii="仿宋_GB2312"/>
          <w:color w:val="000000"/>
          <w:szCs w:val="32"/>
        </w:rPr>
        <w:t>（1）2080501行政事业单位离退休：指行政单位开支的离退休经费；</w:t>
      </w:r>
    </w:p>
    <w:p>
      <w:pPr>
        <w:ind w:firstLine="640" w:firstLineChars="200"/>
        <w:rPr>
          <w:rFonts w:ascii="仿宋_GB2312"/>
          <w:color w:val="000000"/>
          <w:szCs w:val="32"/>
        </w:rPr>
      </w:pPr>
      <w:r>
        <w:rPr>
          <w:rFonts w:hint="eastAsia" w:ascii="仿宋_GB2312"/>
          <w:color w:val="000000"/>
          <w:szCs w:val="32"/>
        </w:rPr>
        <w:t>（2）2080505机关事业单位基本养老保险缴费支出：指机关事业单位实施养老保险制度由单位缴纳的基本养老保险支出；</w:t>
      </w:r>
    </w:p>
    <w:p>
      <w:pPr>
        <w:ind w:firstLine="640" w:firstLineChars="200"/>
        <w:rPr>
          <w:rFonts w:ascii="仿宋_GB2312"/>
          <w:color w:val="000000"/>
          <w:szCs w:val="32"/>
        </w:rPr>
      </w:pPr>
      <w:r>
        <w:rPr>
          <w:rFonts w:hint="eastAsia" w:ascii="仿宋_GB2312"/>
          <w:color w:val="000000"/>
          <w:szCs w:val="32"/>
        </w:rPr>
        <w:t>（3）2080506机关事业单位职业年金缴费支出：指机关事业单位实施养老保险制度由单位实际缴纳的职业年金支出。</w:t>
      </w:r>
    </w:p>
    <w:p>
      <w:pPr>
        <w:ind w:firstLine="640" w:firstLineChars="200"/>
        <w:rPr>
          <w:rFonts w:ascii="仿宋_GB2312"/>
          <w:color w:val="000000"/>
          <w:szCs w:val="32"/>
        </w:rPr>
      </w:pPr>
      <w:r>
        <w:rPr>
          <w:rFonts w:ascii="仿宋_GB2312"/>
          <w:color w:val="000000"/>
          <w:szCs w:val="32"/>
        </w:rPr>
        <w:t>1</w:t>
      </w:r>
      <w:r>
        <w:rPr>
          <w:rFonts w:hint="eastAsia" w:ascii="仿宋_GB2312"/>
          <w:color w:val="000000"/>
          <w:szCs w:val="32"/>
        </w:rPr>
        <w:t>1</w:t>
      </w:r>
      <w:r>
        <w:rPr>
          <w:rFonts w:ascii="仿宋_GB2312"/>
          <w:color w:val="000000"/>
          <w:szCs w:val="32"/>
        </w:rPr>
        <w:t>.</w:t>
      </w:r>
      <w:r>
        <w:rPr>
          <w:rFonts w:hint="eastAsia" w:ascii="仿宋_GB2312"/>
          <w:color w:val="000000"/>
          <w:szCs w:val="32"/>
        </w:rPr>
        <w:t>医疗卫生与计划生育：</w:t>
      </w:r>
    </w:p>
    <w:p>
      <w:pPr>
        <w:ind w:firstLine="640" w:firstLineChars="200"/>
        <w:rPr>
          <w:rFonts w:ascii="仿宋_GB2312"/>
          <w:color w:val="000000"/>
          <w:szCs w:val="32"/>
        </w:rPr>
      </w:pPr>
      <w:r>
        <w:rPr>
          <w:rFonts w:hint="eastAsia" w:ascii="仿宋_GB2312"/>
          <w:color w:val="000000"/>
          <w:szCs w:val="32"/>
        </w:rPr>
        <w:t>（1）2100409重大公共卫生专项：指重大疾病、重大传染病预防控制等重大公共卫生服务项目支出；</w:t>
      </w:r>
    </w:p>
    <w:p>
      <w:pPr>
        <w:ind w:firstLine="640" w:firstLineChars="200"/>
        <w:rPr>
          <w:rFonts w:ascii="仿宋_GB2312"/>
          <w:color w:val="000000"/>
          <w:szCs w:val="32"/>
        </w:rPr>
      </w:pPr>
      <w:r>
        <w:rPr>
          <w:rFonts w:hint="eastAsia" w:ascii="仿宋_GB2312"/>
          <w:color w:val="000000"/>
          <w:szCs w:val="32"/>
        </w:rPr>
        <w:t>（2）2101101行政单位医疗：指财政部门安排的行政单位基本医疗保险缴费经费；</w:t>
      </w:r>
    </w:p>
    <w:p>
      <w:pPr>
        <w:ind w:firstLine="640" w:firstLineChars="200"/>
        <w:rPr>
          <w:rFonts w:ascii="仿宋_GB2312"/>
          <w:color w:val="000000"/>
          <w:szCs w:val="32"/>
        </w:rPr>
      </w:pPr>
      <w:r>
        <w:rPr>
          <w:rFonts w:hint="eastAsia" w:ascii="仿宋_GB2312"/>
          <w:color w:val="000000"/>
          <w:szCs w:val="32"/>
        </w:rPr>
        <w:t>（3）2101102事业单位医疗：指财政部门安排的事业单位基本医疗保险缴费经费。</w:t>
      </w:r>
    </w:p>
    <w:p>
      <w:pPr>
        <w:ind w:firstLine="640" w:firstLineChars="200"/>
        <w:rPr>
          <w:rFonts w:ascii="仿宋_GB2312"/>
          <w:color w:val="000000"/>
          <w:szCs w:val="32"/>
        </w:rPr>
      </w:pPr>
      <w:r>
        <w:rPr>
          <w:rFonts w:hint="eastAsia" w:ascii="仿宋_GB2312"/>
          <w:color w:val="000000"/>
          <w:szCs w:val="32"/>
        </w:rPr>
        <w:t>12</w:t>
      </w:r>
      <w:r>
        <w:rPr>
          <w:rFonts w:ascii="仿宋_GB2312"/>
          <w:color w:val="000000"/>
          <w:szCs w:val="32"/>
        </w:rPr>
        <w:t>.</w:t>
      </w:r>
      <w:r>
        <w:rPr>
          <w:rFonts w:hint="eastAsia" w:ascii="仿宋_GB2312"/>
          <w:color w:val="000000"/>
          <w:szCs w:val="32"/>
        </w:rPr>
        <w:t>住房保障：</w:t>
      </w:r>
    </w:p>
    <w:p>
      <w:pPr>
        <w:ind w:firstLine="640" w:firstLineChars="200"/>
        <w:rPr>
          <w:rFonts w:ascii="仿宋_GB2312"/>
          <w:color w:val="000000"/>
          <w:szCs w:val="32"/>
        </w:rPr>
      </w:pPr>
      <w:r>
        <w:rPr>
          <w:rFonts w:hint="eastAsia" w:ascii="仿宋_GB2312"/>
          <w:color w:val="000000"/>
          <w:szCs w:val="32"/>
        </w:rPr>
        <w:t>（1）2210201住房公积金：指行政事业单位按人力资源和社会保障部、财政部规定的基本工资和津贴补贴以及规定比例为职工缴纳的住房公积金。</w:t>
      </w:r>
    </w:p>
    <w:p>
      <w:pPr>
        <w:ind w:firstLine="640" w:firstLineChars="200"/>
        <w:rPr>
          <w:rFonts w:ascii="仿宋_GB2312"/>
          <w:color w:val="000000"/>
          <w:szCs w:val="32"/>
        </w:rPr>
      </w:pPr>
      <w:r>
        <w:rPr>
          <w:rFonts w:hint="eastAsia" w:ascii="仿宋_GB2312"/>
          <w:color w:val="000000"/>
          <w:szCs w:val="32"/>
        </w:rPr>
        <w:t>13</w:t>
      </w:r>
      <w:r>
        <w:rPr>
          <w:rFonts w:ascii="仿宋_GB2312"/>
          <w:color w:val="000000"/>
          <w:szCs w:val="32"/>
        </w:rPr>
        <w:t>.</w:t>
      </w:r>
      <w:r>
        <w:rPr>
          <w:rFonts w:hint="eastAsia" w:ascii="仿宋_GB2312"/>
          <w:color w:val="000000"/>
          <w:szCs w:val="32"/>
        </w:rPr>
        <w:t>项目支出：指在基本支出之外为完成特定行政任务和事业发展目标所发生的支出。</w:t>
      </w:r>
      <w:r>
        <w:rPr>
          <w:rFonts w:ascii="仿宋_GB2312"/>
          <w:color w:val="000000"/>
          <w:szCs w:val="32"/>
        </w:rPr>
        <w:t xml:space="preserve"> </w:t>
      </w:r>
    </w:p>
    <w:p>
      <w:pPr>
        <w:ind w:firstLine="640" w:firstLineChars="200"/>
        <w:rPr>
          <w:rFonts w:ascii="仿宋_GB2312"/>
          <w:color w:val="000000"/>
          <w:szCs w:val="32"/>
        </w:rPr>
      </w:pPr>
      <w:r>
        <w:rPr>
          <w:rFonts w:hint="eastAsia" w:ascii="仿宋_GB2312"/>
          <w:color w:val="000000"/>
          <w:szCs w:val="32"/>
        </w:rPr>
        <w:t>14</w:t>
      </w:r>
      <w:r>
        <w:rPr>
          <w:rFonts w:ascii="仿宋_GB2312"/>
          <w:color w:val="000000"/>
          <w:szCs w:val="32"/>
        </w:rPr>
        <w:t>.</w:t>
      </w:r>
      <w:r>
        <w:rPr>
          <w:rFonts w:hint="eastAsia" w:ascii="仿宋_GB2312"/>
          <w:color w:val="000000"/>
          <w:szCs w:val="32"/>
        </w:rPr>
        <w:t>经营支出：指事业单位在专业业务活动及其辅助活动之外开展非独立核算经营活动发生的支出。</w:t>
      </w:r>
    </w:p>
    <w:p>
      <w:pPr>
        <w:pStyle w:val="55"/>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5"/>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Style w:val="50"/>
          <w:rFonts w:ascii="黑体" w:hAnsi="黑体" w:eastAsia="黑体"/>
          <w:b w:val="0"/>
        </w:rPr>
      </w:pPr>
      <w:bookmarkStart w:id="75" w:name="_Toc15377226"/>
      <w:r>
        <w:rPr>
          <w:rFonts w:ascii="宋体"/>
          <w:b/>
          <w:color w:val="000000"/>
          <w:sz w:val="44"/>
          <w:szCs w:val="44"/>
        </w:rPr>
        <w:br w:type="page"/>
      </w:r>
      <w:bookmarkStart w:id="76" w:name="_Toc15396614"/>
      <w:bookmarkStart w:id="77" w:name="_Toc49975940"/>
      <w:bookmarkStart w:id="78" w:name="_Toc49976127"/>
      <w:r>
        <w:rPr>
          <w:rFonts w:hint="eastAsia" w:ascii="黑体" w:hAnsi="黑体" w:eastAsia="黑体"/>
          <w:color w:val="000000"/>
          <w:sz w:val="44"/>
          <w:szCs w:val="44"/>
        </w:rPr>
        <w:t>第</w:t>
      </w:r>
      <w:r>
        <w:rPr>
          <w:rStyle w:val="50"/>
          <w:rFonts w:hint="eastAsia" w:ascii="黑体" w:hAnsi="黑体" w:eastAsia="黑体"/>
        </w:rPr>
        <w:t>四部分 附件</w:t>
      </w:r>
      <w:bookmarkEnd w:id="76"/>
      <w:bookmarkEnd w:id="77"/>
      <w:bookmarkEnd w:id="78"/>
    </w:p>
    <w:p>
      <w:pPr>
        <w:pStyle w:val="4"/>
        <w:rPr>
          <w:rFonts w:ascii="方正小标宋简体" w:hAnsi="方正小标宋简体" w:eastAsia="方正小标宋简体" w:cs="方正小标宋简体"/>
        </w:rPr>
      </w:pPr>
      <w:bookmarkStart w:id="79" w:name="_Toc49975941"/>
      <w:bookmarkStart w:id="80" w:name="_Toc49976128"/>
      <w:r>
        <w:rPr>
          <w:rFonts w:hint="eastAsia" w:ascii="黑体" w:hAnsi="黑体" w:eastAsia="黑体" w:cs="黑体"/>
        </w:rPr>
        <w:t>附件1</w:t>
      </w:r>
      <w:bookmarkEnd w:id="79"/>
      <w:bookmarkEnd w:id="80"/>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中共市委政法委员会</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szCs w:val="32"/>
          <w:shd w:val="clear" w:color="auto" w:fill="FFFFFF"/>
        </w:rPr>
      </w:pPr>
      <w:r>
        <w:rPr>
          <w:rFonts w:hint="eastAsia" w:ascii="仿宋_GB2312" w:hAnsi="宋体"/>
          <w:szCs w:val="32"/>
          <w:shd w:val="clear" w:color="auto" w:fill="FFFFFF"/>
        </w:rPr>
        <w:t>（报告范围包括机关和下属单位）</w:t>
      </w:r>
    </w:p>
    <w:p>
      <w:pPr>
        <w:widowControl/>
        <w:adjustRightInd w:val="0"/>
        <w:snapToGrid w:val="0"/>
        <w:spacing w:line="54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lang w:val="zh-CN"/>
        </w:rPr>
      </w:pPr>
      <w:r>
        <w:rPr>
          <w:rFonts w:hint="eastAsia" w:ascii="黑体" w:hAnsi="宋体" w:eastAsia="黑体" w:cs="宋体"/>
          <w:color w:val="000000"/>
          <w:kern w:val="0"/>
          <w:szCs w:val="32"/>
          <w:shd w:val="clear" w:color="auto" w:fill="FFFFFF"/>
        </w:rPr>
        <w:t>一、</w:t>
      </w:r>
      <w:r>
        <w:rPr>
          <w:rFonts w:hint="eastAsia" w:ascii="黑体" w:hAnsi="宋体" w:eastAsia="黑体" w:cs="宋体"/>
          <w:color w:val="000000"/>
          <w:kern w:val="0"/>
          <w:szCs w:val="32"/>
          <w:shd w:val="clear" w:color="auto" w:fill="FFFFFF"/>
          <w:lang w:val="zh-CN"/>
        </w:rPr>
        <w:t>部门（单位）概况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（一）机构组成。</w:t>
      </w:r>
    </w:p>
    <w:p>
      <w:pPr>
        <w:adjustRightInd w:val="0"/>
        <w:snapToGrid w:val="0"/>
        <w:spacing w:line="560" w:lineRule="exact"/>
        <w:ind w:firstLine="640" w:firstLineChars="200"/>
        <w:rPr>
          <w:rFonts w:ascii="仿宋_GB2312"/>
          <w:color w:val="000000"/>
          <w:szCs w:val="32"/>
        </w:rPr>
      </w:pPr>
      <w:r>
        <w:rPr>
          <w:rFonts w:hint="eastAsia" w:ascii="仿宋_GB2312" w:hAnsi="仿宋"/>
          <w:szCs w:val="32"/>
        </w:rPr>
        <w:t>办公室（下设政策研究科）、政治部（下设队伍建设科）、政治安全科（反邪教协调科）、维稳指导科、综治督导科（下设专项行动办公室）、基层社会治理科（下设多元化解办公室）、执法监督科（下设信访办）、宣传指导科、机关党总支、扫黑办、纪检组。</w:t>
      </w:r>
      <w:r>
        <w:rPr>
          <w:rFonts w:hint="eastAsia" w:ascii="仿宋_GB2312"/>
          <w:color w:val="000000"/>
          <w:szCs w:val="32"/>
        </w:rPr>
        <w:t>管理事业单位机构</w:t>
      </w:r>
      <w:r>
        <w:rPr>
          <w:rFonts w:ascii="仿宋_GB2312"/>
          <w:color w:val="000000"/>
          <w:szCs w:val="32"/>
        </w:rPr>
        <w:t>1</w:t>
      </w:r>
      <w:r>
        <w:rPr>
          <w:rFonts w:hint="eastAsia" w:ascii="仿宋_GB2312"/>
          <w:color w:val="000000"/>
          <w:szCs w:val="32"/>
        </w:rPr>
        <w:t>个：自贡市法学会。</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（二）机构职能。</w:t>
      </w:r>
    </w:p>
    <w:p>
      <w:pPr>
        <w:adjustRightInd w:val="0"/>
        <w:snapToGrid w:val="0"/>
        <w:spacing w:line="560" w:lineRule="exact"/>
        <w:ind w:firstLine="640" w:firstLineChars="200"/>
        <w:rPr>
          <w:rFonts w:ascii="方正小标宋简体" w:eastAsia="方正小标宋简体"/>
          <w:color w:val="000000"/>
          <w:sz w:val="44"/>
          <w:szCs w:val="44"/>
        </w:rPr>
      </w:pPr>
      <w:r>
        <w:rPr>
          <w:rFonts w:hint="eastAsia" w:ascii="仿宋_GB2312"/>
          <w:color w:val="000000"/>
          <w:szCs w:val="32"/>
        </w:rPr>
        <w:t>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r>
        <w:rPr>
          <w:rFonts w:ascii="仿宋_GB2312"/>
          <w:color w:val="000000"/>
          <w:szCs w:val="32"/>
        </w:rPr>
        <w:t xml:space="preserve"> </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（三）人员概况。</w:t>
      </w:r>
    </w:p>
    <w:p>
      <w:pPr>
        <w:snapToGrid w:val="0"/>
        <w:spacing w:line="520" w:lineRule="exact"/>
        <w:ind w:firstLine="640" w:firstLineChars="200"/>
        <w:rPr>
          <w:rFonts w:ascii="仿宋_GB2312" w:hAnsi="仿宋"/>
          <w:szCs w:val="32"/>
        </w:rPr>
      </w:pPr>
      <w:r>
        <w:rPr>
          <w:rFonts w:hint="eastAsia" w:ascii="仿宋_GB2312" w:hAnsi="仿宋"/>
          <w:szCs w:val="32"/>
        </w:rPr>
        <w:t>市委政法委部门总编制35名，其中行政编制25名，事业编制</w:t>
      </w:r>
      <w:r>
        <w:rPr>
          <w:rFonts w:hint="eastAsia" w:ascii="仿宋_GB2312" w:hAnsi="仿宋"/>
          <w:szCs w:val="32"/>
          <w:lang w:val="en-US" w:eastAsia="zh-CN"/>
        </w:rPr>
        <w:t>8</w:t>
      </w:r>
      <w:r>
        <w:rPr>
          <w:rFonts w:hint="eastAsia" w:ascii="仿宋_GB2312" w:hAnsi="仿宋"/>
          <w:szCs w:val="32"/>
        </w:rPr>
        <w:t>名。机关行政编制25个，工勤编制2个。人员变动情况：事业单位在岗编制8人，2020年新进入</w:t>
      </w:r>
      <w:r>
        <w:rPr>
          <w:rFonts w:hint="eastAsia" w:ascii="仿宋_GB2312" w:hAnsi="仿宋"/>
          <w:szCs w:val="32"/>
          <w:lang w:val="en-US" w:eastAsia="zh-CN"/>
        </w:rPr>
        <w:t>2</w:t>
      </w:r>
      <w:r>
        <w:rPr>
          <w:rFonts w:hint="eastAsia" w:ascii="仿宋_GB2312" w:hAnsi="仿宋"/>
          <w:szCs w:val="32"/>
        </w:rPr>
        <w:t>人。</w:t>
      </w: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二、部门财政资金收支情况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（一）部门财政资金收入情况。</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20年本年收入合计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万元，其中：一般公共预算财政拨款收入1</w:t>
      </w:r>
      <w:r>
        <w:rPr>
          <w:rFonts w:hint="eastAsia" w:ascii="仿宋" w:hAnsi="仿宋" w:eastAsia="仿宋"/>
          <w:color w:val="000000"/>
          <w:szCs w:val="32"/>
          <w:lang w:val="en-US" w:eastAsia="zh-CN"/>
        </w:rPr>
        <w:t>1483.12</w:t>
      </w:r>
      <w:r>
        <w:rPr>
          <w:rFonts w:hint="eastAsia" w:ascii="仿宋" w:hAnsi="仿宋" w:eastAsia="仿宋"/>
          <w:color w:val="000000"/>
          <w:szCs w:val="32"/>
        </w:rPr>
        <w:t>万元，占</w:t>
      </w:r>
      <w:r>
        <w:rPr>
          <w:rFonts w:hint="eastAsia" w:ascii="仿宋" w:hAnsi="仿宋" w:eastAsia="仿宋"/>
          <w:color w:val="000000"/>
          <w:szCs w:val="32"/>
          <w:lang w:val="en-US" w:eastAsia="zh-CN"/>
        </w:rPr>
        <w:t>97.7</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万元，占</w:t>
      </w:r>
      <w:r>
        <w:rPr>
          <w:rFonts w:hint="eastAsia" w:ascii="仿宋" w:hAnsi="仿宋" w:eastAsia="仿宋"/>
          <w:color w:val="000000"/>
          <w:szCs w:val="32"/>
          <w:lang w:val="en-US" w:eastAsia="zh-CN"/>
        </w:rPr>
        <w:t>2.3</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（二）部门财政资金支出情况。</w:t>
      </w:r>
    </w:p>
    <w:p>
      <w:pPr>
        <w:spacing w:line="600" w:lineRule="exact"/>
        <w:ind w:firstLine="640"/>
        <w:rPr>
          <w:rFonts w:ascii="仿宋_GB2312" w:hAnsi="仿宋"/>
          <w:color w:val="000000"/>
          <w:szCs w:val="32"/>
        </w:rPr>
      </w:pPr>
      <w:r>
        <w:rPr>
          <w:rFonts w:ascii="仿宋" w:hAnsi="仿宋" w:eastAsia="仿宋"/>
          <w:color w:val="000000"/>
          <w:szCs w:val="32"/>
        </w:rPr>
        <w:t>20</w:t>
      </w:r>
      <w:r>
        <w:rPr>
          <w:rFonts w:hint="eastAsia" w:ascii="仿宋" w:hAnsi="仿宋" w:eastAsia="仿宋"/>
          <w:color w:val="000000"/>
          <w:szCs w:val="32"/>
        </w:rPr>
        <w:t>20年本年支出合计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781.96</w:t>
      </w:r>
      <w:r>
        <w:rPr>
          <w:rFonts w:hint="eastAsia" w:ascii="仿宋_GB2312" w:hAnsi="仿宋"/>
          <w:color w:val="000000"/>
          <w:szCs w:val="32"/>
        </w:rPr>
        <w:t>万元，占</w:t>
      </w:r>
      <w:r>
        <w:rPr>
          <w:rFonts w:hint="eastAsia" w:ascii="仿宋_GB2312" w:hAnsi="仿宋"/>
          <w:color w:val="000000"/>
          <w:szCs w:val="32"/>
          <w:lang w:val="en-US" w:eastAsia="zh-CN"/>
        </w:rPr>
        <w:t>51.5</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681.43</w:t>
      </w:r>
      <w:r>
        <w:rPr>
          <w:rFonts w:hint="eastAsia" w:ascii="仿宋_GB2312" w:hAnsi="仿宋"/>
          <w:color w:val="000000"/>
          <w:szCs w:val="32"/>
        </w:rPr>
        <w:t>万元，占</w:t>
      </w:r>
      <w:r>
        <w:rPr>
          <w:rFonts w:hint="eastAsia" w:ascii="仿宋_GB2312" w:hAnsi="仿宋"/>
          <w:color w:val="000000"/>
          <w:szCs w:val="32"/>
          <w:lang w:val="en-US" w:eastAsia="zh-CN"/>
        </w:rPr>
        <w:t>44.9</w:t>
      </w:r>
      <w:r>
        <w:rPr>
          <w:rFonts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三、部门整体预算绩效管理情况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（一）部门预算管理。</w:t>
      </w:r>
    </w:p>
    <w:p>
      <w:pPr>
        <w:snapToGrid w:val="0"/>
        <w:spacing w:line="520" w:lineRule="exact"/>
        <w:ind w:firstLine="640" w:firstLineChars="200"/>
        <w:rPr>
          <w:rFonts w:ascii="仿宋_GB2312" w:hAnsi="仿宋"/>
          <w:szCs w:val="32"/>
        </w:rPr>
      </w:pPr>
      <w:r>
        <w:rPr>
          <w:rFonts w:hint="eastAsia" w:ascii="仿宋_GB2312" w:hAnsi="仿宋"/>
          <w:szCs w:val="32"/>
        </w:rPr>
        <w:t>我委部门预算管理严格按照年初预算批复保障机关运行，绩效目标管理、预算动态管理，收支预算管理遵守相关法律法规。专项预算资金按照年初预算要求，专款专用，严格用于项目和专项工作，保障项目运行，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snapToGrid w:val="0"/>
        <w:spacing w:line="520" w:lineRule="exact"/>
        <w:ind w:firstLine="640" w:firstLineChars="200"/>
        <w:rPr>
          <w:rFonts w:ascii="仿宋_GB2312" w:hAnsi="仿宋"/>
          <w:szCs w:val="32"/>
        </w:rPr>
      </w:pPr>
      <w:r>
        <w:rPr>
          <w:rFonts w:hint="eastAsia" w:ascii="仿宋_GB2312" w:hAnsi="仿宋"/>
          <w:szCs w:val="32"/>
        </w:rPr>
        <w:t>我委接到决算工作安排，认真部署人员开展决算所需各项数据资料，决算报送审核通过后，认真开展绩效信息公开工作。</w:t>
      </w: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四、评价结论及建议</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pStyle w:val="4"/>
        <w:rPr>
          <w:rFonts w:ascii="仿宋_GB2312" w:hAnsi="仿宋_GB2312" w:eastAsia="仿宋_GB2312" w:cs="仿宋_GB2312"/>
        </w:rPr>
      </w:pPr>
      <w:bookmarkStart w:id="81" w:name="_Toc49975942"/>
      <w:bookmarkStart w:id="82" w:name="_Toc49976129"/>
      <w:r>
        <w:rPr>
          <w:rFonts w:hint="eastAsia" w:ascii="黑体" w:hAnsi="黑体" w:eastAsia="黑体" w:cs="黑体"/>
        </w:rPr>
        <w:t>附件2</w:t>
      </w:r>
      <w:bookmarkEnd w:id="81"/>
      <w:bookmarkEnd w:id="82"/>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平安建设项</w:t>
      </w:r>
      <w:r>
        <w:rPr>
          <w:rFonts w:hint="eastAsia" w:ascii="方正小标宋简体" w:hAnsi="宋体" w:eastAsia="方正小标宋简体"/>
          <w:color w:val="000000"/>
          <w:kern w:val="0"/>
          <w:sz w:val="44"/>
          <w:szCs w:val="44"/>
          <w:lang w:val="zh-CN"/>
        </w:rPr>
        <w:t>目</w:t>
      </w: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Cs w:val="32"/>
          <w:lang w:val="zh-CN"/>
        </w:rPr>
      </w:pPr>
    </w:p>
    <w:p>
      <w:pPr>
        <w:adjustRightInd w:val="0"/>
        <w:snapToGrid w:val="0"/>
        <w:spacing w:line="560" w:lineRule="exact"/>
        <w:ind w:firstLine="720"/>
        <w:rPr>
          <w:rFonts w:ascii="黑体" w:hAnsi="宋体" w:eastAsia="黑体"/>
          <w:szCs w:val="32"/>
          <w:lang w:val="zh-CN"/>
        </w:rPr>
      </w:pPr>
      <w:r>
        <w:rPr>
          <w:rFonts w:hint="eastAsia" w:ascii="黑体" w:hAnsi="宋体" w:eastAsia="黑体"/>
          <w:szCs w:val="32"/>
        </w:rPr>
        <w:t>一、</w:t>
      </w:r>
      <w:r>
        <w:rPr>
          <w:rFonts w:hint="eastAsia" w:ascii="黑体" w:hAnsi="宋体" w:eastAsia="黑体"/>
          <w:szCs w:val="32"/>
          <w:lang w:val="zh-CN"/>
        </w:rPr>
        <w:t>项目概况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（一）项目基本情况。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平安建设项目是为了保障推进全国综治优秀市创建，加强平安自贡建设；确保全市社会大局稳定。该项目广泛开展平安建设宣传，提高群众知晓率和满意率，宣传见义勇为先进个人，让群众参与扫黑除恶专项斗争，营造了良好的社会氛围。</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（二）项目绩效目标。</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1．项目主要内容：广泛开展平安建设宣传，提高群众知晓率和满意率，严格落实综治领导责任。</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2．项目应实现的具体绩效目标：</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（1）平安指标：</w:t>
      </w:r>
      <w:r>
        <w:rPr>
          <w:rFonts w:ascii="Times New Roman" w:hAnsi="Times New Roman" w:eastAsia="仿宋_GB2312"/>
          <w:sz w:val="32"/>
          <w:szCs w:val="32"/>
        </w:rPr>
        <w:t>“六无”平安村（社区）创建</w:t>
      </w:r>
      <w:r>
        <w:rPr>
          <w:rFonts w:hint="eastAsia" w:ascii="仿宋_GB2312" w:hAnsi="宋体"/>
          <w:szCs w:val="32"/>
          <w:lang w:val="zh-CN"/>
        </w:rPr>
        <w:t>。</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（2）典型培育：宣传见义勇为先进个人，营造群众参与的扫黑除恶专项斗争。</w:t>
      </w:r>
    </w:p>
    <w:p>
      <w:pPr>
        <w:adjustRightInd w:val="0"/>
        <w:snapToGrid w:val="0"/>
        <w:spacing w:line="560" w:lineRule="exact"/>
        <w:ind w:firstLine="800" w:firstLineChars="250"/>
        <w:rPr>
          <w:rFonts w:ascii="仿宋_GB2312" w:hAnsi="宋体"/>
          <w:szCs w:val="32"/>
          <w:lang w:val="zh-CN"/>
        </w:rPr>
      </w:pPr>
      <w:r>
        <w:rPr>
          <w:rFonts w:hint="eastAsia" w:ascii="仿宋_GB2312" w:hAnsi="宋体"/>
          <w:szCs w:val="32"/>
          <w:lang w:val="zh-CN"/>
        </w:rPr>
        <w:t>3．申报内容与实际相符，申报目标合理可行。</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（三）项目自评步骤及方法。</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说明项目绩效自评采用的组织实施步骤及方法。</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二、项目资金申报及使用情况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（一）项目资金申报及批复情况。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该项目资金为财政拨款，截止评价时点，资金申报及批复已完成。</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（二）资金计划、到位及使用情况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该项目资金为财政拨款，截止评价时点该项目全省资金已到位。资金支付范围、支付标准、支付进度、支付依据等合规合法且与预算相符，。</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（三）项目财务管理情况。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各项目实施单位财务管理制度健全，严格执行财务管理制度，账务处理及时，会计核算规范。</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三、项目实施及管理情况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（一）项目组织架构及实施流程。</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（二）项目管理情况。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（三）项目监管情况。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我委明确相关岗位的职责权限，确保政府采购需求制定与内部审批、招标文件准备与复核、合同签订与验收等岗位不相容，严格落实综治领导责任，开展有效督导及挂牌整治。</w:t>
      </w:r>
    </w:p>
    <w:p>
      <w:pPr>
        <w:adjustRightInd w:val="0"/>
        <w:snapToGrid w:val="0"/>
        <w:spacing w:line="560" w:lineRule="exact"/>
        <w:ind w:firstLine="787" w:firstLineChars="246"/>
        <w:rPr>
          <w:rFonts w:ascii="仿宋_GB2312" w:hAnsi="宋体"/>
          <w:szCs w:val="32"/>
          <w:lang w:val="zh-CN"/>
        </w:rPr>
      </w:pPr>
      <w:r>
        <w:rPr>
          <w:rFonts w:hint="eastAsia" w:ascii="黑体" w:hAnsi="宋体" w:eastAsia="黑体"/>
          <w:szCs w:val="32"/>
        </w:rPr>
        <w:t>四、项目绩效情况</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（一）项目完成情况。</w:t>
      </w:r>
    </w:p>
    <w:p>
      <w:pPr>
        <w:pBdr>
          <w:top w:val="single" w:color="FFFFFF" w:sz="4" w:space="0"/>
          <w:left w:val="single" w:color="FFFFFF" w:sz="4" w:space="31"/>
          <w:bottom w:val="single" w:color="FFFFFF" w:sz="4" w:space="31"/>
          <w:right w:val="single" w:color="FFFFFF" w:sz="4" w:space="0"/>
        </w:pBdr>
        <w:snapToGrid w:val="0"/>
        <w:spacing w:line="560" w:lineRule="exact"/>
        <w:ind w:firstLine="640" w:firstLineChars="200"/>
        <w:rPr>
          <w:rFonts w:ascii="仿宋_GB2312" w:hAnsi="宋体"/>
          <w:szCs w:val="32"/>
          <w:lang w:val="zh-CN"/>
        </w:rPr>
      </w:pPr>
      <w:r>
        <w:rPr>
          <w:rFonts w:ascii="Times New Roman" w:hAnsi="Times New Roman" w:eastAsia="仿宋_GB2312"/>
          <w:sz w:val="32"/>
          <w:szCs w:val="32"/>
        </w:rPr>
        <w:t>持续开展“六无”平安村（社区）创建，</w:t>
      </w:r>
      <w:r>
        <w:rPr>
          <w:rFonts w:ascii="Times New Roman" w:hAnsi="Times New Roman" w:eastAsia="仿宋_GB2312"/>
          <w:sz w:val="32"/>
          <w:szCs w:val="32"/>
          <w:shd w:val="clear" w:color="auto" w:fill="FFFFFF"/>
        </w:rPr>
        <w:t>建成省级“六无”平安村(社区)30个，市级“六无”平安村（社区）156个、区县级“六无”平安村（社区）492个。</w:t>
      </w:r>
      <w:r>
        <w:rPr>
          <w:rFonts w:ascii="Times New Roman" w:hAnsi="Times New Roman" w:eastAsia="仿宋_GB2312"/>
          <w:sz w:val="32"/>
          <w:szCs w:val="32"/>
        </w:rPr>
        <w:t>推进“一村一辅警”机制建设，突出“黑车”整治、“三超”专项整治，医疗纠纷人民调解、校园周边环境整治和保护未成年人关爱行动、保健品专项整治等工作重点，平安医院创建获得国家卫健委、中央政法委等10部委的联合表彰，大力宣传“平安建设”工作，为建设平安自贡营造了浓厚的舆论氛围。巩固“万人红袖标”平安志愿者队伍拓展到38562人，同比增加12%。见义勇为氛围更浓，“海尔小哥”胡云川勇救6楼女童的事迹，受到各级、社会各界广泛好评，获得省市级表彰。</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（二）项目效益情况。</w:t>
      </w:r>
    </w:p>
    <w:p>
      <w:pPr>
        <w:pBdr>
          <w:top w:val="single" w:color="FFFFFF" w:sz="4" w:space="0"/>
          <w:left w:val="single" w:color="FFFFFF" w:sz="4" w:space="31"/>
          <w:bottom w:val="single" w:color="FFFFFF" w:sz="4" w:space="31"/>
          <w:right w:val="single" w:color="FFFFFF" w:sz="4" w:space="0"/>
        </w:pBdr>
        <w:snapToGrid w:val="0"/>
        <w:spacing w:line="560" w:lineRule="exact"/>
        <w:ind w:firstLine="640" w:firstLineChars="200"/>
        <w:rPr>
          <w:rFonts w:hint="eastAsia" w:ascii="仿宋_GB2312" w:hAnsi="宋体" w:eastAsia="仿宋_GB2312"/>
          <w:szCs w:val="32"/>
          <w:lang w:val="zh-CN" w:eastAsia="zh-CN"/>
        </w:rPr>
      </w:pPr>
      <w:r>
        <w:rPr>
          <w:rFonts w:hint="eastAsia" w:ascii="仿宋_GB2312" w:hAnsi="宋体"/>
          <w:szCs w:val="32"/>
          <w:lang w:val="zh-CN"/>
        </w:rPr>
        <w:t>社会效益：</w:t>
      </w:r>
      <w:r>
        <w:rPr>
          <w:rFonts w:ascii="Times New Roman" w:hAnsi="Times New Roman" w:eastAsia="仿宋_GB2312"/>
          <w:sz w:val="32"/>
          <w:szCs w:val="32"/>
        </w:rPr>
        <w:t>平安医院创建获得国家卫健委、中央政法委等10部委的联合表彰，大力宣传“平安建设”工作，为建设平安自贡营造了浓厚的舆论氛围</w:t>
      </w:r>
      <w:r>
        <w:rPr>
          <w:rFonts w:hint="eastAsia"/>
          <w:sz w:val="32"/>
          <w:szCs w:val="32"/>
          <w:lang w:eastAsia="zh-CN"/>
        </w:rPr>
        <w:t>。</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五、评价结论及建议</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adjustRightInd w:val="0"/>
        <w:snapToGrid w:val="0"/>
        <w:spacing w:line="560" w:lineRule="exact"/>
        <w:ind w:firstLine="482" w:firstLineChars="150"/>
        <w:rPr>
          <w:rFonts w:ascii="楷体_GB2312" w:hAnsi="宋体" w:eastAsia="楷体_GB2312"/>
          <w:b/>
          <w:szCs w:val="32"/>
          <w:lang w:val="zh-CN"/>
        </w:rPr>
      </w:pPr>
      <w:r>
        <w:rPr>
          <w:rFonts w:hint="eastAsia" w:ascii="楷体_GB2312" w:hAnsi="宋体" w:eastAsia="楷体_GB2312"/>
          <w:b/>
          <w:szCs w:val="32"/>
          <w:lang w:val="zh-CN"/>
        </w:rPr>
        <w:t>（二）存在的问题。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（三）相关建议。</w:t>
      </w:r>
    </w:p>
    <w:p>
      <w:pPr>
        <w:snapToGrid w:val="0"/>
        <w:spacing w:line="520" w:lineRule="exact"/>
        <w:ind w:firstLine="640" w:firstLineChars="200"/>
        <w:rPr>
          <w:rFonts w:ascii="仿宋_GB2312" w:hAnsi="仿宋"/>
          <w:szCs w:val="32"/>
        </w:rPr>
      </w:pPr>
      <w:bookmarkStart w:id="83" w:name="_Toc15396618"/>
      <w:bookmarkStart w:id="84" w:name="_Toc49975943"/>
      <w:bookmarkStart w:id="85" w:name="_Toc49976130"/>
      <w:r>
        <w:rPr>
          <w:rFonts w:hint="eastAsia" w:ascii="仿宋_GB2312" w:hAnsi="仿宋"/>
          <w:szCs w:val="32"/>
        </w:rPr>
        <w:t>我们将严格按照相关资金使用管理要求，加快项目建设和资金支出进度。</w:t>
      </w: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50"/>
          <w:rFonts w:hint="eastAsia" w:ascii="黑体" w:hAnsi="黑体" w:eastAsia="黑体"/>
          <w:b w:val="0"/>
          <w:bCs w:val="0"/>
        </w:rPr>
        <w:t>五部分 附表</w:t>
      </w:r>
      <w:bookmarkEnd w:id="75"/>
      <w:bookmarkEnd w:id="83"/>
      <w:bookmarkEnd w:id="84"/>
      <w:bookmarkEnd w:id="85"/>
      <w:bookmarkStart w:id="86" w:name="_Toc15396619"/>
      <w:bookmarkStart w:id="87" w:name="_Toc49975944"/>
      <w:bookmarkStart w:id="88" w:name="_Toc49976131"/>
    </w:p>
    <w:p>
      <w:pPr>
        <w:pStyle w:val="4"/>
        <w:spacing w:line="560" w:lineRule="exact"/>
        <w:rPr>
          <w:rFonts w:ascii="仿宋" w:hAnsi="仿宋" w:eastAsia="仿宋"/>
          <w:color w:val="000000"/>
        </w:rPr>
      </w:pPr>
      <w:r>
        <w:rPr>
          <w:rFonts w:hint="eastAsia" w:ascii="仿宋" w:hAnsi="仿宋" w:eastAsia="仿宋"/>
          <w:b w:val="0"/>
          <w:color w:val="000000"/>
        </w:rPr>
        <w:t>一、收</w:t>
      </w:r>
      <w:r>
        <w:rPr>
          <w:rStyle w:val="51"/>
          <w:rFonts w:hint="eastAsia" w:ascii="仿宋" w:hAnsi="仿宋" w:eastAsia="仿宋"/>
          <w:b w:val="0"/>
          <w:bCs w:val="0"/>
        </w:rPr>
        <w:t>入支出决算总表</w:t>
      </w:r>
      <w:bookmarkEnd w:id="86"/>
      <w:bookmarkEnd w:id="87"/>
      <w:bookmarkEnd w:id="88"/>
    </w:p>
    <w:p>
      <w:pPr>
        <w:pStyle w:val="4"/>
        <w:spacing w:line="560" w:lineRule="exact"/>
        <w:rPr>
          <w:rFonts w:ascii="仿宋" w:hAnsi="仿宋" w:eastAsia="仿宋"/>
          <w:color w:val="000000"/>
        </w:rPr>
      </w:pPr>
      <w:bookmarkStart w:id="89" w:name="_Toc15396620"/>
      <w:bookmarkStart w:id="90" w:name="_Toc49975945"/>
      <w:bookmarkStart w:id="91" w:name="_Toc49976132"/>
      <w:r>
        <w:rPr>
          <w:rFonts w:hint="eastAsia" w:ascii="仿宋" w:hAnsi="仿宋" w:eastAsia="仿宋"/>
          <w:b w:val="0"/>
          <w:color w:val="000000"/>
        </w:rPr>
        <w:t>二、收</w:t>
      </w:r>
      <w:r>
        <w:rPr>
          <w:rStyle w:val="51"/>
          <w:rFonts w:hint="eastAsia" w:ascii="仿宋" w:hAnsi="仿宋" w:eastAsia="仿宋"/>
          <w:b w:val="0"/>
          <w:bCs w:val="0"/>
        </w:rPr>
        <w:t>入决算表</w:t>
      </w:r>
      <w:bookmarkEnd w:id="89"/>
      <w:bookmarkEnd w:id="90"/>
      <w:bookmarkEnd w:id="91"/>
    </w:p>
    <w:p>
      <w:pPr>
        <w:pStyle w:val="4"/>
        <w:spacing w:line="560" w:lineRule="exact"/>
        <w:rPr>
          <w:rFonts w:ascii="仿宋" w:hAnsi="仿宋" w:eastAsia="仿宋"/>
          <w:color w:val="000000"/>
        </w:rPr>
      </w:pPr>
      <w:bookmarkStart w:id="92" w:name="_Toc15396621"/>
      <w:bookmarkStart w:id="93" w:name="_Toc49975946"/>
      <w:bookmarkStart w:id="94" w:name="_Toc49976133"/>
      <w:r>
        <w:rPr>
          <w:rStyle w:val="51"/>
          <w:rFonts w:hint="eastAsia" w:ascii="仿宋" w:hAnsi="仿宋" w:eastAsia="仿宋"/>
          <w:b w:val="0"/>
          <w:bCs w:val="0"/>
        </w:rPr>
        <w:t>三、</w:t>
      </w:r>
      <w:r>
        <w:rPr>
          <w:rFonts w:hint="eastAsia" w:ascii="仿宋" w:hAnsi="仿宋" w:eastAsia="仿宋"/>
          <w:b w:val="0"/>
          <w:color w:val="000000"/>
        </w:rPr>
        <w:t>支</w:t>
      </w:r>
      <w:r>
        <w:rPr>
          <w:rStyle w:val="51"/>
          <w:rFonts w:hint="eastAsia" w:ascii="仿宋" w:hAnsi="仿宋" w:eastAsia="仿宋"/>
          <w:b w:val="0"/>
          <w:bCs w:val="0"/>
        </w:rPr>
        <w:t>出决算表</w:t>
      </w:r>
      <w:bookmarkEnd w:id="92"/>
      <w:bookmarkEnd w:id="93"/>
      <w:bookmarkEnd w:id="94"/>
    </w:p>
    <w:p>
      <w:pPr>
        <w:pStyle w:val="4"/>
        <w:spacing w:line="560" w:lineRule="exact"/>
        <w:rPr>
          <w:rFonts w:ascii="仿宋" w:hAnsi="仿宋" w:eastAsia="仿宋"/>
          <w:b w:val="0"/>
          <w:color w:val="000000"/>
        </w:rPr>
      </w:pPr>
      <w:bookmarkStart w:id="95" w:name="_Toc15396622"/>
      <w:bookmarkStart w:id="96" w:name="_Toc49975947"/>
      <w:bookmarkStart w:id="97" w:name="_Toc49976134"/>
      <w:r>
        <w:rPr>
          <w:rStyle w:val="51"/>
          <w:rFonts w:hint="eastAsia" w:ascii="仿宋" w:hAnsi="仿宋" w:eastAsia="仿宋"/>
          <w:b w:val="0"/>
          <w:bCs w:val="0"/>
        </w:rPr>
        <w:t>四、</w:t>
      </w:r>
      <w:r>
        <w:rPr>
          <w:rFonts w:hint="eastAsia" w:ascii="仿宋" w:hAnsi="仿宋" w:eastAsia="仿宋"/>
          <w:b w:val="0"/>
          <w:color w:val="000000"/>
        </w:rPr>
        <w:t>财</w:t>
      </w:r>
      <w:r>
        <w:rPr>
          <w:rStyle w:val="51"/>
          <w:rFonts w:hint="eastAsia" w:ascii="仿宋" w:hAnsi="仿宋" w:eastAsia="仿宋"/>
          <w:b w:val="0"/>
          <w:bCs w:val="0"/>
        </w:rPr>
        <w:t>政拨款收入支出决算总表</w:t>
      </w:r>
      <w:bookmarkEnd w:id="95"/>
      <w:bookmarkEnd w:id="96"/>
      <w:bookmarkEnd w:id="97"/>
    </w:p>
    <w:p>
      <w:pPr>
        <w:pStyle w:val="4"/>
        <w:spacing w:line="560" w:lineRule="exact"/>
        <w:rPr>
          <w:rStyle w:val="51"/>
          <w:rFonts w:ascii="仿宋" w:hAnsi="仿宋" w:eastAsia="仿宋"/>
          <w:b w:val="0"/>
          <w:bCs w:val="0"/>
        </w:rPr>
      </w:pPr>
      <w:bookmarkStart w:id="98" w:name="_Toc15396623"/>
      <w:bookmarkStart w:id="99" w:name="_Toc49975948"/>
      <w:bookmarkStart w:id="100" w:name="_Toc49976135"/>
      <w:r>
        <w:rPr>
          <w:rStyle w:val="51"/>
          <w:rFonts w:hint="eastAsia" w:ascii="仿宋" w:hAnsi="仿宋" w:eastAsia="仿宋"/>
          <w:b w:val="0"/>
          <w:bCs w:val="0"/>
        </w:rPr>
        <w:t>五、</w:t>
      </w:r>
      <w:r>
        <w:rPr>
          <w:rFonts w:hint="eastAsia" w:ascii="仿宋" w:hAnsi="仿宋" w:eastAsia="仿宋"/>
          <w:b w:val="0"/>
          <w:color w:val="000000"/>
        </w:rPr>
        <w:t>财</w:t>
      </w:r>
      <w:r>
        <w:rPr>
          <w:rStyle w:val="51"/>
          <w:rFonts w:hint="eastAsia" w:ascii="仿宋" w:hAnsi="仿宋" w:eastAsia="仿宋"/>
          <w:b w:val="0"/>
          <w:bCs w:val="0"/>
        </w:rPr>
        <w:t>政拨款支出决算明细表</w:t>
      </w:r>
      <w:bookmarkEnd w:id="98"/>
      <w:bookmarkEnd w:id="99"/>
      <w:bookmarkEnd w:id="100"/>
      <w:bookmarkStart w:id="101" w:name="_Toc15396624"/>
    </w:p>
    <w:p>
      <w:pPr>
        <w:pStyle w:val="4"/>
        <w:spacing w:line="560" w:lineRule="exact"/>
        <w:rPr>
          <w:rFonts w:ascii="仿宋" w:hAnsi="仿宋" w:eastAsia="仿宋"/>
          <w:color w:val="000000"/>
        </w:rPr>
      </w:pPr>
      <w:bookmarkStart w:id="102" w:name="_Toc49975949"/>
      <w:bookmarkStart w:id="103" w:name="_Toc49976136"/>
      <w:r>
        <w:rPr>
          <w:rStyle w:val="51"/>
          <w:rFonts w:hint="eastAsia" w:ascii="仿宋" w:hAnsi="仿宋" w:eastAsia="仿宋"/>
          <w:b w:val="0"/>
          <w:bCs w:val="0"/>
        </w:rPr>
        <w:t>六、</w:t>
      </w:r>
      <w:r>
        <w:rPr>
          <w:rFonts w:hint="eastAsia" w:ascii="仿宋" w:hAnsi="仿宋" w:eastAsia="仿宋"/>
          <w:b w:val="0"/>
          <w:color w:val="000000"/>
        </w:rPr>
        <w:t>一</w:t>
      </w:r>
      <w:r>
        <w:rPr>
          <w:rStyle w:val="51"/>
          <w:rFonts w:hint="eastAsia" w:ascii="仿宋" w:hAnsi="仿宋" w:eastAsia="仿宋"/>
          <w:b w:val="0"/>
          <w:bCs w:val="0"/>
        </w:rPr>
        <w:t>般公共预算财政拨款支出决算表</w:t>
      </w:r>
      <w:bookmarkEnd w:id="101"/>
      <w:bookmarkEnd w:id="102"/>
      <w:bookmarkEnd w:id="103"/>
    </w:p>
    <w:p>
      <w:pPr>
        <w:pStyle w:val="4"/>
        <w:spacing w:line="560" w:lineRule="exact"/>
        <w:rPr>
          <w:rFonts w:ascii="仿宋" w:hAnsi="仿宋" w:eastAsia="仿宋"/>
          <w:color w:val="000000"/>
        </w:rPr>
      </w:pPr>
      <w:bookmarkStart w:id="104" w:name="_Toc15396625"/>
      <w:bookmarkStart w:id="105" w:name="_Toc49975950"/>
      <w:bookmarkStart w:id="106" w:name="_Toc49976137"/>
      <w:r>
        <w:rPr>
          <w:rStyle w:val="51"/>
          <w:rFonts w:hint="eastAsia" w:ascii="仿宋" w:hAnsi="仿宋" w:eastAsia="仿宋"/>
          <w:b w:val="0"/>
          <w:bCs w:val="0"/>
        </w:rPr>
        <w:t>七、</w:t>
      </w:r>
      <w:r>
        <w:rPr>
          <w:rFonts w:hint="eastAsia" w:ascii="仿宋" w:hAnsi="仿宋" w:eastAsia="仿宋"/>
          <w:b w:val="0"/>
          <w:color w:val="000000"/>
        </w:rPr>
        <w:t>一</w:t>
      </w:r>
      <w:r>
        <w:rPr>
          <w:rStyle w:val="51"/>
          <w:rFonts w:hint="eastAsia" w:ascii="仿宋" w:hAnsi="仿宋" w:eastAsia="仿宋"/>
          <w:b w:val="0"/>
          <w:bCs w:val="0"/>
        </w:rPr>
        <w:t>般公共预算财政拨款支出决算明细表</w:t>
      </w:r>
      <w:bookmarkEnd w:id="104"/>
      <w:bookmarkEnd w:id="105"/>
      <w:bookmarkEnd w:id="106"/>
    </w:p>
    <w:p>
      <w:pPr>
        <w:pStyle w:val="4"/>
        <w:spacing w:line="560" w:lineRule="exact"/>
        <w:rPr>
          <w:rFonts w:ascii="仿宋" w:hAnsi="仿宋" w:eastAsia="仿宋"/>
          <w:color w:val="000000"/>
        </w:rPr>
      </w:pPr>
      <w:bookmarkStart w:id="107" w:name="_Toc15396626"/>
      <w:bookmarkStart w:id="108" w:name="_Toc49975951"/>
      <w:bookmarkStart w:id="109" w:name="_Toc49976138"/>
      <w:r>
        <w:rPr>
          <w:rStyle w:val="51"/>
          <w:rFonts w:hint="eastAsia" w:ascii="仿宋" w:hAnsi="仿宋" w:eastAsia="仿宋"/>
          <w:b w:val="0"/>
          <w:bCs w:val="0"/>
        </w:rPr>
        <w:t>八、</w:t>
      </w:r>
      <w:r>
        <w:rPr>
          <w:rFonts w:hint="eastAsia" w:ascii="仿宋" w:hAnsi="仿宋" w:eastAsia="仿宋"/>
          <w:b w:val="0"/>
          <w:color w:val="000000"/>
        </w:rPr>
        <w:t>一</w:t>
      </w:r>
      <w:r>
        <w:rPr>
          <w:rStyle w:val="51"/>
          <w:rFonts w:hint="eastAsia" w:ascii="仿宋" w:hAnsi="仿宋" w:eastAsia="仿宋"/>
          <w:b w:val="0"/>
          <w:bCs w:val="0"/>
        </w:rPr>
        <w:t>般公共预算财政拨款基本支出决算表</w:t>
      </w:r>
      <w:bookmarkEnd w:id="107"/>
      <w:bookmarkEnd w:id="108"/>
      <w:bookmarkEnd w:id="109"/>
    </w:p>
    <w:p>
      <w:pPr>
        <w:pStyle w:val="4"/>
        <w:spacing w:line="560" w:lineRule="exact"/>
        <w:rPr>
          <w:rFonts w:ascii="仿宋" w:hAnsi="仿宋" w:eastAsia="仿宋"/>
          <w:color w:val="000000"/>
        </w:rPr>
      </w:pPr>
      <w:bookmarkStart w:id="110" w:name="_Toc15396627"/>
      <w:bookmarkStart w:id="111" w:name="_Toc49975952"/>
      <w:bookmarkStart w:id="112" w:name="_Toc49976139"/>
      <w:r>
        <w:rPr>
          <w:rStyle w:val="51"/>
          <w:rFonts w:hint="eastAsia" w:ascii="仿宋" w:hAnsi="仿宋" w:eastAsia="仿宋"/>
          <w:b w:val="0"/>
          <w:bCs w:val="0"/>
        </w:rPr>
        <w:t>九、</w:t>
      </w:r>
      <w:r>
        <w:rPr>
          <w:rFonts w:hint="eastAsia" w:ascii="仿宋" w:hAnsi="仿宋" w:eastAsia="仿宋"/>
          <w:b w:val="0"/>
          <w:color w:val="000000"/>
        </w:rPr>
        <w:t>一</w:t>
      </w:r>
      <w:r>
        <w:rPr>
          <w:rStyle w:val="51"/>
          <w:rFonts w:hint="eastAsia" w:ascii="仿宋" w:hAnsi="仿宋" w:eastAsia="仿宋"/>
          <w:b w:val="0"/>
          <w:bCs w:val="0"/>
        </w:rPr>
        <w:t>般公共预算财政拨款项目支出决算表</w:t>
      </w:r>
      <w:bookmarkEnd w:id="110"/>
      <w:bookmarkEnd w:id="111"/>
      <w:bookmarkEnd w:id="112"/>
    </w:p>
    <w:p>
      <w:pPr>
        <w:pStyle w:val="4"/>
        <w:spacing w:line="560" w:lineRule="exact"/>
        <w:rPr>
          <w:rFonts w:ascii="仿宋" w:hAnsi="仿宋" w:eastAsia="仿宋"/>
          <w:color w:val="000000"/>
        </w:rPr>
      </w:pPr>
      <w:bookmarkStart w:id="113" w:name="_Toc15396628"/>
      <w:bookmarkStart w:id="114" w:name="_Toc49975953"/>
      <w:bookmarkStart w:id="115" w:name="_Toc49976140"/>
      <w:r>
        <w:rPr>
          <w:rStyle w:val="51"/>
          <w:rFonts w:hint="eastAsia" w:ascii="仿宋" w:hAnsi="仿宋" w:eastAsia="仿宋"/>
          <w:b w:val="0"/>
          <w:bCs w:val="0"/>
        </w:rPr>
        <w:t>十、</w:t>
      </w:r>
      <w:r>
        <w:rPr>
          <w:rFonts w:hint="eastAsia" w:ascii="仿宋" w:hAnsi="仿宋" w:eastAsia="仿宋"/>
          <w:b w:val="0"/>
          <w:color w:val="000000"/>
        </w:rPr>
        <w:t>一</w:t>
      </w:r>
      <w:r>
        <w:rPr>
          <w:rStyle w:val="51"/>
          <w:rFonts w:hint="eastAsia" w:ascii="仿宋" w:hAnsi="仿宋" w:eastAsia="仿宋"/>
          <w:b w:val="0"/>
          <w:bCs w:val="0"/>
        </w:rPr>
        <w:t>般公共预算财政拨款“三公”经费支出决算表</w:t>
      </w:r>
      <w:bookmarkEnd w:id="113"/>
      <w:bookmarkEnd w:id="114"/>
      <w:bookmarkEnd w:id="115"/>
    </w:p>
    <w:p>
      <w:pPr>
        <w:pStyle w:val="4"/>
        <w:spacing w:line="560" w:lineRule="exact"/>
        <w:rPr>
          <w:rFonts w:ascii="仿宋" w:hAnsi="仿宋" w:eastAsia="仿宋"/>
          <w:color w:val="000000"/>
        </w:rPr>
      </w:pPr>
      <w:bookmarkStart w:id="116" w:name="_Toc15396629"/>
      <w:bookmarkStart w:id="117" w:name="_Toc49975954"/>
      <w:bookmarkStart w:id="118" w:name="_Toc49976141"/>
      <w:r>
        <w:rPr>
          <w:rStyle w:val="51"/>
          <w:rFonts w:hint="eastAsia" w:ascii="仿宋" w:hAnsi="仿宋" w:eastAsia="仿宋"/>
          <w:b w:val="0"/>
          <w:bCs w:val="0"/>
        </w:rPr>
        <w:t>十一、</w:t>
      </w:r>
      <w:r>
        <w:rPr>
          <w:rFonts w:hint="eastAsia" w:ascii="仿宋" w:hAnsi="仿宋" w:eastAsia="仿宋"/>
          <w:b w:val="0"/>
          <w:color w:val="000000"/>
        </w:rPr>
        <w:t>政</w:t>
      </w:r>
      <w:r>
        <w:rPr>
          <w:rStyle w:val="51"/>
          <w:rFonts w:hint="eastAsia" w:ascii="仿宋" w:hAnsi="仿宋" w:eastAsia="仿宋"/>
          <w:b w:val="0"/>
          <w:bCs w:val="0"/>
        </w:rPr>
        <w:t>府性基金预算财政拨款收入支出决算表</w:t>
      </w:r>
      <w:bookmarkEnd w:id="116"/>
      <w:bookmarkEnd w:id="117"/>
      <w:bookmarkEnd w:id="118"/>
    </w:p>
    <w:p>
      <w:pPr>
        <w:pStyle w:val="4"/>
        <w:spacing w:line="560" w:lineRule="exact"/>
        <w:rPr>
          <w:rFonts w:ascii="仿宋" w:hAnsi="仿宋" w:eastAsia="仿宋"/>
          <w:color w:val="000000"/>
        </w:rPr>
      </w:pPr>
      <w:bookmarkStart w:id="119" w:name="_Toc15396630"/>
      <w:bookmarkStart w:id="120" w:name="_Toc49975955"/>
      <w:bookmarkStart w:id="121" w:name="_Toc49976142"/>
      <w:r>
        <w:rPr>
          <w:rStyle w:val="51"/>
          <w:rFonts w:hint="eastAsia" w:ascii="仿宋" w:hAnsi="仿宋" w:eastAsia="仿宋"/>
          <w:b w:val="0"/>
          <w:bCs w:val="0"/>
        </w:rPr>
        <w:t>十二、</w:t>
      </w:r>
      <w:r>
        <w:rPr>
          <w:rFonts w:hint="eastAsia" w:ascii="仿宋" w:hAnsi="仿宋" w:eastAsia="仿宋"/>
          <w:b w:val="0"/>
          <w:color w:val="000000"/>
        </w:rPr>
        <w:t>政</w:t>
      </w:r>
      <w:r>
        <w:rPr>
          <w:rStyle w:val="51"/>
          <w:rFonts w:hint="eastAsia" w:ascii="仿宋" w:hAnsi="仿宋" w:eastAsia="仿宋"/>
          <w:b w:val="0"/>
          <w:bCs w:val="0"/>
        </w:rPr>
        <w:t>府性基金预算财政拨款“三公”经费支出决算表</w:t>
      </w:r>
      <w:bookmarkEnd w:id="119"/>
      <w:bookmarkEnd w:id="120"/>
      <w:bookmarkEnd w:id="121"/>
    </w:p>
    <w:p>
      <w:pPr>
        <w:pStyle w:val="4"/>
        <w:spacing w:line="560" w:lineRule="exact"/>
        <w:rPr>
          <w:rFonts w:ascii="仿宋" w:hAnsi="仿宋" w:eastAsia="仿宋"/>
          <w:color w:val="000000"/>
        </w:rPr>
      </w:pPr>
      <w:bookmarkStart w:id="122" w:name="_Toc15396631"/>
      <w:bookmarkStart w:id="123" w:name="_Toc49975956"/>
      <w:bookmarkStart w:id="124" w:name="_Toc49976143"/>
      <w:r>
        <w:rPr>
          <w:rStyle w:val="51"/>
          <w:rFonts w:hint="eastAsia" w:ascii="仿宋" w:hAnsi="仿宋" w:eastAsia="仿宋"/>
          <w:b w:val="0"/>
          <w:bCs w:val="0"/>
        </w:rPr>
        <w:t>十三、</w:t>
      </w:r>
      <w:r>
        <w:rPr>
          <w:rFonts w:hint="eastAsia" w:ascii="仿宋" w:hAnsi="仿宋" w:eastAsia="仿宋"/>
          <w:b w:val="0"/>
          <w:color w:val="000000"/>
        </w:rPr>
        <w:t>国</w:t>
      </w:r>
      <w:r>
        <w:rPr>
          <w:rStyle w:val="51"/>
          <w:rFonts w:hint="eastAsia" w:ascii="仿宋" w:hAnsi="仿宋" w:eastAsia="仿宋"/>
          <w:b w:val="0"/>
          <w:bCs w:val="0"/>
        </w:rPr>
        <w:t>有资本经营预算支出决算表</w:t>
      </w:r>
      <w:bookmarkEnd w:id="122"/>
      <w:bookmarkEnd w:id="123"/>
      <w:bookmarkEnd w:id="124"/>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395570"/>
    </w:sdtPr>
    <w:sdtContent>
      <w:p>
        <w:pPr>
          <w:pStyle w:val="15"/>
          <w:jc w:val="center"/>
        </w:pPr>
        <w:r>
          <w:fldChar w:fldCharType="begin"/>
        </w:r>
        <w:r>
          <w:instrText xml:space="preserve">PAGE   \* MERGEFORMAT</w:instrText>
        </w:r>
        <w:r>
          <w:fldChar w:fldCharType="separate"/>
        </w:r>
        <w:r>
          <w:rPr>
            <w:lang w:val="zh-CN"/>
          </w:rPr>
          <w:t>21</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8EAC2"/>
    <w:multiLevelType w:val="singleLevel"/>
    <w:tmpl w:val="8028EAC2"/>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38832B8"/>
    <w:multiLevelType w:val="singleLevel"/>
    <w:tmpl w:val="E38832B8"/>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8922279"/>
    <w:multiLevelType w:val="singleLevel"/>
    <w:tmpl w:val="78922279"/>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E1"/>
    <w:rsid w:val="000240E9"/>
    <w:rsid w:val="000503BB"/>
    <w:rsid w:val="000E0792"/>
    <w:rsid w:val="001169CB"/>
    <w:rsid w:val="00155D09"/>
    <w:rsid w:val="001647FE"/>
    <w:rsid w:val="00166650"/>
    <w:rsid w:val="0018278E"/>
    <w:rsid w:val="00214572"/>
    <w:rsid w:val="00230CE1"/>
    <w:rsid w:val="002415BD"/>
    <w:rsid w:val="00241976"/>
    <w:rsid w:val="0024305A"/>
    <w:rsid w:val="00252EC0"/>
    <w:rsid w:val="002B1195"/>
    <w:rsid w:val="002F54D0"/>
    <w:rsid w:val="003012F3"/>
    <w:rsid w:val="00340403"/>
    <w:rsid w:val="00341421"/>
    <w:rsid w:val="00377E5B"/>
    <w:rsid w:val="003808B5"/>
    <w:rsid w:val="00384C5B"/>
    <w:rsid w:val="003E402F"/>
    <w:rsid w:val="003F5ECE"/>
    <w:rsid w:val="00435C6F"/>
    <w:rsid w:val="00437254"/>
    <w:rsid w:val="00464BE1"/>
    <w:rsid w:val="004A3BE4"/>
    <w:rsid w:val="004A4EA9"/>
    <w:rsid w:val="004C612F"/>
    <w:rsid w:val="004D2C97"/>
    <w:rsid w:val="00531513"/>
    <w:rsid w:val="0054043D"/>
    <w:rsid w:val="005D4E3E"/>
    <w:rsid w:val="00621B9E"/>
    <w:rsid w:val="00634C52"/>
    <w:rsid w:val="00645119"/>
    <w:rsid w:val="006E7311"/>
    <w:rsid w:val="007210FD"/>
    <w:rsid w:val="00791398"/>
    <w:rsid w:val="007918A1"/>
    <w:rsid w:val="00793F6F"/>
    <w:rsid w:val="007A63B4"/>
    <w:rsid w:val="00821DE2"/>
    <w:rsid w:val="00824E9E"/>
    <w:rsid w:val="008505AE"/>
    <w:rsid w:val="008672AE"/>
    <w:rsid w:val="008915EF"/>
    <w:rsid w:val="008A5D0B"/>
    <w:rsid w:val="00901A77"/>
    <w:rsid w:val="0093318D"/>
    <w:rsid w:val="009407EA"/>
    <w:rsid w:val="009542A0"/>
    <w:rsid w:val="009549C2"/>
    <w:rsid w:val="0095619E"/>
    <w:rsid w:val="00957960"/>
    <w:rsid w:val="009853E4"/>
    <w:rsid w:val="009B5FB2"/>
    <w:rsid w:val="009C0CBC"/>
    <w:rsid w:val="009C1631"/>
    <w:rsid w:val="009E6C34"/>
    <w:rsid w:val="009F0251"/>
    <w:rsid w:val="00A101C5"/>
    <w:rsid w:val="00A221EF"/>
    <w:rsid w:val="00A350FD"/>
    <w:rsid w:val="00A505BD"/>
    <w:rsid w:val="00A5594A"/>
    <w:rsid w:val="00A60BB6"/>
    <w:rsid w:val="00A70929"/>
    <w:rsid w:val="00AA51F2"/>
    <w:rsid w:val="00AB1207"/>
    <w:rsid w:val="00AB3095"/>
    <w:rsid w:val="00AD40A3"/>
    <w:rsid w:val="00AD479D"/>
    <w:rsid w:val="00AF5BF6"/>
    <w:rsid w:val="00B13C50"/>
    <w:rsid w:val="00B71EA7"/>
    <w:rsid w:val="00B80C11"/>
    <w:rsid w:val="00B8595D"/>
    <w:rsid w:val="00B86C0C"/>
    <w:rsid w:val="00BC205B"/>
    <w:rsid w:val="00BD25EB"/>
    <w:rsid w:val="00BF69D5"/>
    <w:rsid w:val="00C46305"/>
    <w:rsid w:val="00C803B0"/>
    <w:rsid w:val="00C871F5"/>
    <w:rsid w:val="00CB7BF0"/>
    <w:rsid w:val="00CD2FB9"/>
    <w:rsid w:val="00CE380E"/>
    <w:rsid w:val="00CE7D64"/>
    <w:rsid w:val="00CF2554"/>
    <w:rsid w:val="00D30145"/>
    <w:rsid w:val="00D40BC8"/>
    <w:rsid w:val="00D46766"/>
    <w:rsid w:val="00D66C03"/>
    <w:rsid w:val="00DC5A4C"/>
    <w:rsid w:val="00DF4B38"/>
    <w:rsid w:val="00DF7D97"/>
    <w:rsid w:val="00E26A16"/>
    <w:rsid w:val="00E30DA1"/>
    <w:rsid w:val="00E34C2C"/>
    <w:rsid w:val="00E67447"/>
    <w:rsid w:val="00EE5953"/>
    <w:rsid w:val="00EE6715"/>
    <w:rsid w:val="00F17C31"/>
    <w:rsid w:val="00F207F1"/>
    <w:rsid w:val="00F4521B"/>
    <w:rsid w:val="00F52BC9"/>
    <w:rsid w:val="00F847B4"/>
    <w:rsid w:val="00F86D77"/>
    <w:rsid w:val="00FC5893"/>
    <w:rsid w:val="0ACB51E5"/>
    <w:rsid w:val="0BA74031"/>
    <w:rsid w:val="0D846D92"/>
    <w:rsid w:val="0D9C0986"/>
    <w:rsid w:val="109E59AE"/>
    <w:rsid w:val="10F059B4"/>
    <w:rsid w:val="121119A3"/>
    <w:rsid w:val="18857B7F"/>
    <w:rsid w:val="1B74400A"/>
    <w:rsid w:val="1C5C0473"/>
    <w:rsid w:val="213F5590"/>
    <w:rsid w:val="229323D9"/>
    <w:rsid w:val="2293564E"/>
    <w:rsid w:val="4340460C"/>
    <w:rsid w:val="470A6822"/>
    <w:rsid w:val="4A8D32F7"/>
    <w:rsid w:val="5FF609E1"/>
    <w:rsid w:val="667F10F7"/>
    <w:rsid w:val="771D2FDC"/>
    <w:rsid w:val="77BD48B8"/>
    <w:rsid w:val="7CC5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50"/>
    <w:qFormat/>
    <w:uiPriority w:val="9"/>
    <w:pPr>
      <w:keepNext/>
      <w:keepLines/>
      <w:spacing w:before="340" w:after="330" w:line="578" w:lineRule="auto"/>
      <w:outlineLvl w:val="0"/>
    </w:pPr>
    <w:rPr>
      <w:rFonts w:eastAsia="宋体"/>
      <w:b/>
      <w:bCs/>
      <w:kern w:val="44"/>
      <w:sz w:val="44"/>
      <w:szCs w:val="44"/>
    </w:rPr>
  </w:style>
  <w:style w:type="paragraph" w:styleId="4">
    <w:name w:val="heading 2"/>
    <w:basedOn w:val="1"/>
    <w:next w:val="1"/>
    <w:link w:val="51"/>
    <w:unhideWhenUsed/>
    <w:qFormat/>
    <w:uiPriority w:val="9"/>
    <w:pPr>
      <w:keepNext/>
      <w:keepLines/>
      <w:spacing w:before="260" w:after="260" w:line="416" w:lineRule="auto"/>
      <w:outlineLvl w:val="1"/>
    </w:pPr>
    <w:rPr>
      <w:rFonts w:ascii="Cambria" w:hAnsi="Cambria" w:eastAsia="宋体"/>
      <w:b/>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toc 7"/>
    <w:basedOn w:val="1"/>
    <w:next w:val="1"/>
    <w:qFormat/>
    <w:uiPriority w:val="0"/>
    <w:pPr>
      <w:ind w:left="1800"/>
      <w:jc w:val="left"/>
    </w:pPr>
    <w:rPr>
      <w:rFonts w:ascii="等线" w:eastAsia="等线"/>
      <w:sz w:val="20"/>
      <w:szCs w:val="20"/>
    </w:rPr>
  </w:style>
  <w:style w:type="paragraph" w:styleId="6">
    <w:name w:val="Body Text 3"/>
    <w:basedOn w:val="1"/>
    <w:link w:val="53"/>
    <w:qFormat/>
    <w:uiPriority w:val="0"/>
    <w:pPr>
      <w:spacing w:line="560" w:lineRule="exact"/>
    </w:pPr>
  </w:style>
  <w:style w:type="paragraph" w:styleId="7">
    <w:name w:val="Body Text"/>
    <w:basedOn w:val="1"/>
    <w:link w:val="54"/>
    <w:qFormat/>
    <w:uiPriority w:val="0"/>
    <w:pPr>
      <w:spacing w:line="480" w:lineRule="exact"/>
      <w:jc w:val="center"/>
    </w:pPr>
    <w:rPr>
      <w:rFonts w:eastAsia="宋体"/>
      <w:sz w:val="44"/>
      <w:szCs w:val="28"/>
    </w:rPr>
  </w:style>
  <w:style w:type="paragraph" w:styleId="8">
    <w:name w:val="Body Text Indent"/>
    <w:basedOn w:val="1"/>
    <w:link w:val="42"/>
    <w:qFormat/>
    <w:uiPriority w:val="0"/>
    <w:pPr>
      <w:spacing w:after="120"/>
      <w:ind w:left="420" w:leftChars="200"/>
    </w:pPr>
  </w:style>
  <w:style w:type="paragraph" w:styleId="9">
    <w:name w:val="toc 5"/>
    <w:basedOn w:val="1"/>
    <w:next w:val="1"/>
    <w:qFormat/>
    <w:uiPriority w:val="0"/>
    <w:pPr>
      <w:ind w:left="1200"/>
      <w:jc w:val="left"/>
    </w:pPr>
    <w:rPr>
      <w:rFonts w:ascii="等线" w:eastAsia="等线"/>
      <w:sz w:val="20"/>
      <w:szCs w:val="20"/>
    </w:rPr>
  </w:style>
  <w:style w:type="paragraph" w:styleId="10">
    <w:name w:val="toc 3"/>
    <w:basedOn w:val="1"/>
    <w:next w:val="1"/>
    <w:qFormat/>
    <w:uiPriority w:val="39"/>
    <w:pPr>
      <w:ind w:left="600"/>
      <w:jc w:val="left"/>
    </w:pPr>
    <w:rPr>
      <w:rFonts w:ascii="等线" w:eastAsia="等线"/>
      <w:sz w:val="20"/>
      <w:szCs w:val="20"/>
    </w:rPr>
  </w:style>
  <w:style w:type="paragraph" w:styleId="11">
    <w:name w:val="toc 8"/>
    <w:basedOn w:val="1"/>
    <w:next w:val="1"/>
    <w:qFormat/>
    <w:uiPriority w:val="0"/>
    <w:pPr>
      <w:ind w:left="2100"/>
      <w:jc w:val="left"/>
    </w:pPr>
    <w:rPr>
      <w:rFonts w:ascii="等线" w:eastAsia="等线"/>
      <w:sz w:val="20"/>
      <w:szCs w:val="20"/>
    </w:rPr>
  </w:style>
  <w:style w:type="paragraph" w:styleId="12">
    <w:name w:val="Date"/>
    <w:basedOn w:val="1"/>
    <w:next w:val="1"/>
    <w:link w:val="38"/>
    <w:qFormat/>
    <w:uiPriority w:val="0"/>
    <w:pPr>
      <w:ind w:left="100" w:leftChars="2500"/>
    </w:pPr>
  </w:style>
  <w:style w:type="paragraph" w:styleId="13">
    <w:name w:val="Body Text Indent 2"/>
    <w:basedOn w:val="1"/>
    <w:link w:val="43"/>
    <w:qFormat/>
    <w:uiPriority w:val="0"/>
    <w:pPr>
      <w:spacing w:line="580" w:lineRule="exact"/>
      <w:ind w:firstLine="640" w:firstLineChars="200"/>
    </w:pPr>
    <w:rPr>
      <w:rFonts w:ascii="仿宋_GB2312"/>
      <w:szCs w:val="32"/>
    </w:rPr>
  </w:style>
  <w:style w:type="paragraph" w:styleId="14">
    <w:name w:val="Balloon Text"/>
    <w:basedOn w:val="1"/>
    <w:link w:val="52"/>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rFonts w:ascii="等线" w:eastAsia="等线"/>
      <w:b/>
      <w:bCs/>
      <w:i/>
      <w:iCs/>
      <w:sz w:val="24"/>
    </w:rPr>
  </w:style>
  <w:style w:type="paragraph" w:styleId="18">
    <w:name w:val="toc 4"/>
    <w:basedOn w:val="1"/>
    <w:next w:val="1"/>
    <w:qFormat/>
    <w:uiPriority w:val="0"/>
    <w:pPr>
      <w:ind w:left="900"/>
      <w:jc w:val="left"/>
    </w:pPr>
    <w:rPr>
      <w:rFonts w:ascii="等线" w:eastAsia="等线"/>
      <w:sz w:val="20"/>
      <w:szCs w:val="20"/>
    </w:rPr>
  </w:style>
  <w:style w:type="paragraph" w:styleId="19">
    <w:name w:val="toc 6"/>
    <w:basedOn w:val="1"/>
    <w:next w:val="1"/>
    <w:qFormat/>
    <w:uiPriority w:val="0"/>
    <w:pPr>
      <w:ind w:left="1500"/>
      <w:jc w:val="left"/>
    </w:pPr>
    <w:rPr>
      <w:rFonts w:ascii="等线" w:eastAsia="等线"/>
      <w:sz w:val="20"/>
      <w:szCs w:val="20"/>
    </w:rPr>
  </w:style>
  <w:style w:type="paragraph" w:styleId="20">
    <w:name w:val="Body Text Indent 3"/>
    <w:basedOn w:val="1"/>
    <w:link w:val="46"/>
    <w:qFormat/>
    <w:uiPriority w:val="0"/>
    <w:pPr>
      <w:spacing w:line="560" w:lineRule="exact"/>
      <w:ind w:firstLine="600" w:firstLineChars="200"/>
    </w:pPr>
    <w:rPr>
      <w:sz w:val="30"/>
      <w:szCs w:val="28"/>
    </w:rPr>
  </w:style>
  <w:style w:type="paragraph" w:styleId="21">
    <w:name w:val="table of figures"/>
    <w:basedOn w:val="1"/>
    <w:next w:val="1"/>
    <w:unhideWhenUsed/>
    <w:qFormat/>
    <w:uiPriority w:val="99"/>
    <w:pPr>
      <w:ind w:left="200" w:leftChars="200" w:hanging="200" w:hangingChars="200"/>
    </w:pPr>
    <w:rPr>
      <w:rFonts w:ascii="Calibri" w:hAnsi="Calibri" w:eastAsia="宋体"/>
      <w:sz w:val="21"/>
      <w:szCs w:val="22"/>
    </w:rPr>
  </w:style>
  <w:style w:type="paragraph" w:styleId="22">
    <w:name w:val="toc 2"/>
    <w:basedOn w:val="1"/>
    <w:next w:val="1"/>
    <w:unhideWhenUsed/>
    <w:qFormat/>
    <w:uiPriority w:val="39"/>
    <w:pPr>
      <w:spacing w:before="120"/>
      <w:ind w:left="300"/>
      <w:jc w:val="left"/>
    </w:pPr>
    <w:rPr>
      <w:rFonts w:ascii="等线" w:eastAsia="等线"/>
      <w:b/>
      <w:bCs/>
      <w:sz w:val="22"/>
      <w:szCs w:val="22"/>
    </w:rPr>
  </w:style>
  <w:style w:type="paragraph" w:styleId="23">
    <w:name w:val="toc 9"/>
    <w:basedOn w:val="1"/>
    <w:next w:val="1"/>
    <w:qFormat/>
    <w:uiPriority w:val="0"/>
    <w:pPr>
      <w:ind w:left="2400"/>
      <w:jc w:val="left"/>
    </w:pPr>
    <w:rPr>
      <w:rFonts w:ascii="等线" w:eastAsia="等线"/>
      <w:sz w:val="20"/>
      <w:szCs w:val="20"/>
    </w:rPr>
  </w:style>
  <w:style w:type="paragraph" w:styleId="24">
    <w:name w:val="Body Text 2"/>
    <w:basedOn w:val="1"/>
    <w:link w:val="45"/>
    <w:qFormat/>
    <w:uiPriority w:val="0"/>
    <w:pPr>
      <w:spacing w:line="560" w:lineRule="exact"/>
      <w:jc w:val="center"/>
    </w:pPr>
    <w:rPr>
      <w:rFonts w:eastAsia="宋体"/>
      <w:b/>
      <w:bCs/>
      <w:sz w:val="44"/>
      <w:szCs w:val="28"/>
    </w:rPr>
  </w:style>
  <w:style w:type="paragraph" w:styleId="25">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99"/>
    <w:rPr>
      <w:b/>
      <w:bCs/>
    </w:rPr>
  </w:style>
  <w:style w:type="character" w:styleId="30">
    <w:name w:val="page number"/>
    <w:basedOn w:val="28"/>
    <w:qFormat/>
    <w:uiPriority w:val="0"/>
  </w:style>
  <w:style w:type="character" w:styleId="31">
    <w:name w:val="FollowedHyperlink"/>
    <w:qFormat/>
    <w:uiPriority w:val="0"/>
    <w:rPr>
      <w:color w:val="954F72"/>
      <w:u w:val="single"/>
    </w:rPr>
  </w:style>
  <w:style w:type="character" w:styleId="32">
    <w:name w:val="HTML Typewriter"/>
    <w:qFormat/>
    <w:uiPriority w:val="0"/>
    <w:rPr>
      <w:rFonts w:ascii="黑体" w:hAnsi="Courier New" w:eastAsia="黑体" w:cs="Courier New"/>
      <w:sz w:val="20"/>
      <w:szCs w:val="20"/>
    </w:rPr>
  </w:style>
  <w:style w:type="character" w:styleId="33">
    <w:name w:val="Hyperlink"/>
    <w:unhideWhenUsed/>
    <w:qFormat/>
    <w:uiPriority w:val="99"/>
    <w:rPr>
      <w:color w:val="0000FF"/>
      <w:u w:val="single"/>
    </w:rPr>
  </w:style>
  <w:style w:type="character" w:customStyle="1" w:styleId="34">
    <w:name w:val="页眉 字符1"/>
    <w:basedOn w:val="28"/>
    <w:link w:val="16"/>
    <w:qFormat/>
    <w:uiPriority w:val="99"/>
    <w:rPr>
      <w:sz w:val="18"/>
      <w:szCs w:val="18"/>
    </w:rPr>
  </w:style>
  <w:style w:type="character" w:customStyle="1" w:styleId="35">
    <w:name w:val="页脚 字符1"/>
    <w:basedOn w:val="28"/>
    <w:link w:val="15"/>
    <w:qFormat/>
    <w:uiPriority w:val="99"/>
    <w:rPr>
      <w:sz w:val="18"/>
      <w:szCs w:val="18"/>
    </w:rPr>
  </w:style>
  <w:style w:type="character" w:customStyle="1" w:styleId="36">
    <w:name w:val="标题 1 Char"/>
    <w:basedOn w:val="28"/>
    <w:qFormat/>
    <w:uiPriority w:val="9"/>
    <w:rPr>
      <w:rFonts w:ascii="Times New Roman" w:hAnsi="Times New Roman" w:eastAsia="仿宋_GB2312" w:cs="Times New Roman"/>
      <w:b/>
      <w:bCs/>
      <w:kern w:val="44"/>
      <w:sz w:val="44"/>
      <w:szCs w:val="44"/>
    </w:rPr>
  </w:style>
  <w:style w:type="character" w:customStyle="1" w:styleId="37">
    <w:name w:val="标题 2 Char"/>
    <w:basedOn w:val="28"/>
    <w:semiHidden/>
    <w:qFormat/>
    <w:uiPriority w:val="9"/>
    <w:rPr>
      <w:rFonts w:asciiTheme="majorHAnsi" w:hAnsiTheme="majorHAnsi" w:eastAsiaTheme="majorEastAsia" w:cstheme="majorBidi"/>
      <w:b/>
      <w:bCs/>
      <w:sz w:val="32"/>
      <w:szCs w:val="32"/>
    </w:rPr>
  </w:style>
  <w:style w:type="character" w:customStyle="1" w:styleId="38">
    <w:name w:val="日期 字符"/>
    <w:basedOn w:val="28"/>
    <w:link w:val="12"/>
    <w:qFormat/>
    <w:uiPriority w:val="0"/>
    <w:rPr>
      <w:rFonts w:ascii="Times New Roman" w:hAnsi="Times New Roman" w:eastAsia="仿宋_GB2312" w:cs="Times New Roman"/>
      <w:sz w:val="32"/>
      <w:szCs w:val="24"/>
    </w:rPr>
  </w:style>
  <w:style w:type="character" w:customStyle="1" w:styleId="39">
    <w:name w:val="正文文本 3 Char"/>
    <w:basedOn w:val="28"/>
    <w:semiHidden/>
    <w:qFormat/>
    <w:uiPriority w:val="99"/>
    <w:rPr>
      <w:rFonts w:ascii="Times New Roman" w:hAnsi="Times New Roman" w:eastAsia="仿宋_GB2312" w:cs="Times New Roman"/>
      <w:sz w:val="16"/>
      <w:szCs w:val="16"/>
    </w:rPr>
  </w:style>
  <w:style w:type="paragraph" w:customStyle="1" w:styleId="40">
    <w:name w:val="样式-1"/>
    <w:basedOn w:val="1"/>
    <w:qFormat/>
    <w:uiPriority w:val="0"/>
    <w:pPr>
      <w:adjustRightInd w:val="0"/>
      <w:spacing w:line="520" w:lineRule="atLeast"/>
      <w:textAlignment w:val="baseline"/>
    </w:pPr>
    <w:rPr>
      <w:rFonts w:eastAsia="楷体_GB2312"/>
      <w:kern w:val="0"/>
      <w:szCs w:val="20"/>
    </w:rPr>
  </w:style>
  <w:style w:type="character" w:customStyle="1" w:styleId="41">
    <w:name w:val="批注框文本 Char"/>
    <w:basedOn w:val="28"/>
    <w:semiHidden/>
    <w:qFormat/>
    <w:uiPriority w:val="99"/>
    <w:rPr>
      <w:rFonts w:ascii="Times New Roman" w:hAnsi="Times New Roman" w:eastAsia="仿宋_GB2312" w:cs="Times New Roman"/>
      <w:sz w:val="18"/>
      <w:szCs w:val="18"/>
    </w:rPr>
  </w:style>
  <w:style w:type="character" w:customStyle="1" w:styleId="42">
    <w:name w:val="正文文本缩进 字符"/>
    <w:basedOn w:val="28"/>
    <w:link w:val="8"/>
    <w:qFormat/>
    <w:uiPriority w:val="0"/>
    <w:rPr>
      <w:rFonts w:ascii="Times New Roman" w:hAnsi="Times New Roman" w:eastAsia="仿宋_GB2312" w:cs="Times New Roman"/>
      <w:sz w:val="32"/>
      <w:szCs w:val="24"/>
    </w:rPr>
  </w:style>
  <w:style w:type="character" w:customStyle="1" w:styleId="43">
    <w:name w:val="正文文本缩进 2 字符"/>
    <w:basedOn w:val="28"/>
    <w:link w:val="13"/>
    <w:qFormat/>
    <w:uiPriority w:val="0"/>
    <w:rPr>
      <w:rFonts w:ascii="仿宋_GB2312" w:hAnsi="Times New Roman" w:eastAsia="仿宋_GB2312" w:cs="Times New Roman"/>
      <w:sz w:val="32"/>
      <w:szCs w:val="32"/>
    </w:rPr>
  </w:style>
  <w:style w:type="character" w:customStyle="1" w:styleId="44">
    <w:name w:val="正文文本 Char"/>
    <w:basedOn w:val="28"/>
    <w:semiHidden/>
    <w:qFormat/>
    <w:uiPriority w:val="99"/>
    <w:rPr>
      <w:rFonts w:ascii="Times New Roman" w:hAnsi="Times New Roman" w:eastAsia="仿宋_GB2312" w:cs="Times New Roman"/>
      <w:sz w:val="32"/>
      <w:szCs w:val="24"/>
    </w:rPr>
  </w:style>
  <w:style w:type="character" w:customStyle="1" w:styleId="45">
    <w:name w:val="正文文本 2 字符"/>
    <w:basedOn w:val="28"/>
    <w:link w:val="24"/>
    <w:qFormat/>
    <w:uiPriority w:val="0"/>
    <w:rPr>
      <w:rFonts w:ascii="Times New Roman" w:hAnsi="Times New Roman" w:eastAsia="宋体" w:cs="Times New Roman"/>
      <w:b/>
      <w:bCs/>
      <w:sz w:val="44"/>
      <w:szCs w:val="28"/>
    </w:rPr>
  </w:style>
  <w:style w:type="character" w:customStyle="1" w:styleId="46">
    <w:name w:val="正文文本缩进 3 字符"/>
    <w:basedOn w:val="28"/>
    <w:link w:val="20"/>
    <w:qFormat/>
    <w:uiPriority w:val="0"/>
    <w:rPr>
      <w:rFonts w:ascii="Times New Roman" w:hAnsi="Times New Roman" w:eastAsia="仿宋_GB2312" w:cs="Times New Roman"/>
      <w:sz w:val="30"/>
      <w:szCs w:val="28"/>
    </w:rPr>
  </w:style>
  <w:style w:type="paragraph" w:customStyle="1" w:styleId="47">
    <w:name w:val="Char1"/>
    <w:basedOn w:val="1"/>
    <w:semiHidden/>
    <w:qFormat/>
    <w:uiPriority w:val="0"/>
    <w:rPr>
      <w:rFonts w:eastAsia="宋体"/>
      <w:sz w:val="21"/>
    </w:rPr>
  </w:style>
  <w:style w:type="character" w:customStyle="1" w:styleId="48">
    <w:name w:val="页眉 字符"/>
    <w:qFormat/>
    <w:uiPriority w:val="0"/>
    <w:rPr>
      <w:rFonts w:eastAsia="仿宋_GB2312"/>
      <w:kern w:val="2"/>
      <w:sz w:val="18"/>
      <w:szCs w:val="18"/>
    </w:rPr>
  </w:style>
  <w:style w:type="character" w:customStyle="1" w:styleId="49">
    <w:name w:val="页脚 字符"/>
    <w:qFormat/>
    <w:uiPriority w:val="0"/>
    <w:rPr>
      <w:rFonts w:ascii="Calibri" w:hAnsi="Calibri" w:eastAsia="宋体" w:cs="Times New Roman"/>
      <w:kern w:val="2"/>
      <w:sz w:val="18"/>
      <w:szCs w:val="18"/>
    </w:rPr>
  </w:style>
  <w:style w:type="character" w:customStyle="1" w:styleId="50">
    <w:name w:val="标题 1 字符"/>
    <w:link w:val="3"/>
    <w:qFormat/>
    <w:uiPriority w:val="9"/>
    <w:rPr>
      <w:rFonts w:ascii="Times New Roman" w:hAnsi="Times New Roman" w:eastAsia="宋体" w:cs="Times New Roman"/>
      <w:b/>
      <w:bCs/>
      <w:kern w:val="44"/>
      <w:sz w:val="44"/>
      <w:szCs w:val="44"/>
    </w:rPr>
  </w:style>
  <w:style w:type="character" w:customStyle="1" w:styleId="51">
    <w:name w:val="标题 2 字符"/>
    <w:link w:val="4"/>
    <w:qFormat/>
    <w:uiPriority w:val="9"/>
    <w:rPr>
      <w:rFonts w:ascii="Cambria" w:hAnsi="Cambria" w:eastAsia="宋体" w:cs="Times New Roman"/>
      <w:b/>
      <w:bCs/>
      <w:sz w:val="32"/>
      <w:szCs w:val="32"/>
    </w:rPr>
  </w:style>
  <w:style w:type="character" w:customStyle="1" w:styleId="52">
    <w:name w:val="批注框文本 字符"/>
    <w:link w:val="14"/>
    <w:qFormat/>
    <w:uiPriority w:val="0"/>
    <w:rPr>
      <w:rFonts w:ascii="Times New Roman" w:hAnsi="Times New Roman" w:eastAsia="仿宋_GB2312" w:cs="Times New Roman"/>
      <w:sz w:val="18"/>
      <w:szCs w:val="18"/>
    </w:rPr>
  </w:style>
  <w:style w:type="character" w:customStyle="1" w:styleId="53">
    <w:name w:val="正文文本 3 字符"/>
    <w:link w:val="6"/>
    <w:qFormat/>
    <w:uiPriority w:val="0"/>
    <w:rPr>
      <w:rFonts w:ascii="Times New Roman" w:hAnsi="Times New Roman" w:eastAsia="仿宋_GB2312" w:cs="Times New Roman"/>
      <w:sz w:val="32"/>
      <w:szCs w:val="24"/>
    </w:rPr>
  </w:style>
  <w:style w:type="character" w:customStyle="1" w:styleId="54">
    <w:name w:val="正文文本 字符"/>
    <w:link w:val="7"/>
    <w:qFormat/>
    <w:uiPriority w:val="0"/>
    <w:rPr>
      <w:rFonts w:ascii="Times New Roman" w:hAnsi="Times New Roman" w:eastAsia="宋体" w:cs="Times New Roman"/>
      <w:sz w:val="44"/>
      <w:szCs w:val="28"/>
    </w:rPr>
  </w:style>
  <w:style w:type="paragraph" w:customStyle="1" w:styleId="5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56">
    <w:name w:val="List Paragraph"/>
    <w:basedOn w:val="1"/>
    <w:qFormat/>
    <w:uiPriority w:val="34"/>
    <w:pPr>
      <w:ind w:firstLine="420" w:firstLineChars="200"/>
    </w:pPr>
    <w:rPr>
      <w:rFonts w:eastAsia="宋体"/>
      <w:sz w:val="21"/>
    </w:rPr>
  </w:style>
  <w:style w:type="paragraph" w:customStyle="1" w:styleId="57">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59C86-FD15-47EC-B4EF-2320B6D1333B}">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2031</Words>
  <Characters>11582</Characters>
  <Lines>96</Lines>
  <Paragraphs>27</Paragraphs>
  <TotalTime>1</TotalTime>
  <ScaleCrop>false</ScaleCrop>
  <LinksUpToDate>false</LinksUpToDate>
  <CharactersWithSpaces>13586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2020-09-18T00:25:00Z</dcterms:created>
  <dc:creator>admin</dc:creator>
  <cp:lastModifiedBy>Administrator</cp:lastModifiedBy>
  <cp:lastPrinted>2021-09-18T03:03:00Z</cp:lastPrinted>
  <dcterms:modified xsi:type="dcterms:W3CDTF">2021-09-26T01:00:41Z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