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rPr>
        <w:t>自贡市市委政法委</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rPr>
        <w:t>2020年度部门决算编制的说明</w:t>
      </w:r>
    </w:p>
    <w:p>
      <w:pPr>
        <w:widowControl/>
        <w:jc w:val="center"/>
        <w:rPr>
          <w:rFonts w:ascii="仿宋_GB2312"/>
          <w:sz w:val="28"/>
          <w:szCs w:val="28"/>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spacing w:line="500" w:lineRule="exact"/>
        <w:jc w:val="center"/>
        <w:rPr>
          <w:rFonts w:ascii="黑体" w:hAnsi="黑体" w:eastAsia="黑体"/>
          <w:color w:val="FF0000"/>
          <w:sz w:val="28"/>
          <w:szCs w:val="28"/>
        </w:rPr>
      </w:pPr>
    </w:p>
    <w:p>
      <w:pPr>
        <w:pStyle w:val="17"/>
        <w:spacing w:line="500" w:lineRule="exact"/>
        <w:jc w:val="center"/>
        <w:rPr>
          <w:rFonts w:ascii="仿宋_GB2312" w:eastAsia="仿宋_GB2312"/>
          <w:i w:val="0"/>
          <w:color w:val="FF0000"/>
          <w:sz w:val="32"/>
        </w:rPr>
      </w:pPr>
      <w:r>
        <w:rPr>
          <w:rFonts w:hint="eastAsia" w:ascii="仿宋_GB2312" w:eastAsia="仿宋_GB2312"/>
          <w:i w:val="0"/>
          <w:color w:val="FF0000"/>
          <w:sz w:val="32"/>
        </w:rPr>
        <w:t>公开时间：2021年9月</w:t>
      </w:r>
      <w:r>
        <w:rPr>
          <w:rFonts w:hint="eastAsia" w:ascii="仿宋_GB2312" w:eastAsia="仿宋_GB2312"/>
          <w:i w:val="0"/>
          <w:color w:val="FF0000"/>
          <w:sz w:val="32"/>
          <w:lang w:val="en-US" w:eastAsia="zh-CN"/>
        </w:rPr>
        <w:t>30</w:t>
      </w:r>
      <w:bookmarkStart w:id="125" w:name="_GoBack"/>
      <w:bookmarkEnd w:id="125"/>
      <w:r>
        <w:rPr>
          <w:rFonts w:hint="eastAsia" w:ascii="仿宋_GB2312" w:eastAsia="仿宋_GB2312"/>
          <w:i w:val="0"/>
          <w:color w:val="FF0000"/>
          <w:sz w:val="32"/>
        </w:rPr>
        <w:t>日</w:t>
      </w:r>
    </w:p>
    <w:p>
      <w:pPr>
        <w:pStyle w:val="17"/>
        <w:tabs>
          <w:tab w:val="right" w:leader="dot" w:pos="8834"/>
        </w:tabs>
        <w:spacing w:line="500" w:lineRule="exact"/>
        <w:rPr>
          <w:rFonts w:ascii="仿宋_GB2312" w:hAnsi="等线" w:eastAsia="仿宋_GB2312"/>
          <w:b w:val="0"/>
          <w:bCs w:val="0"/>
          <w:i w:val="0"/>
          <w:iCs w:val="0"/>
          <w:sz w:val="28"/>
          <w:szCs w:val="28"/>
        </w:rPr>
      </w:pPr>
      <w:r>
        <w:rPr>
          <w:rFonts w:ascii="等线 Light" w:eastAsia="等线 Light"/>
          <w:i w:val="0"/>
          <w:iCs w:val="0"/>
          <w:caps/>
          <w:sz w:val="28"/>
          <w:szCs w:val="28"/>
        </w:rPr>
        <w:fldChar w:fldCharType="begin"/>
      </w:r>
      <w:r>
        <w:rPr>
          <w:rFonts w:ascii="等线 Light" w:eastAsia="等线 Light"/>
          <w:i w:val="0"/>
          <w:iCs w:val="0"/>
          <w:caps/>
          <w:sz w:val="28"/>
          <w:szCs w:val="28"/>
        </w:rPr>
        <w:instrText xml:space="preserve"> TOC \o "1-2" \h \z \u </w:instrText>
      </w:r>
      <w:r>
        <w:rPr>
          <w:rFonts w:ascii="等线 Light" w:eastAsia="等线 Light"/>
          <w:i w:val="0"/>
          <w:iCs w:val="0"/>
          <w:caps/>
          <w:sz w:val="28"/>
          <w:szCs w:val="28"/>
        </w:rPr>
        <w:fldChar w:fldCharType="separate"/>
      </w:r>
      <w:r>
        <w:fldChar w:fldCharType="begin"/>
      </w:r>
      <w:r>
        <w:instrText xml:space="preserve"> HYPERLINK \l "_Toc49976112" </w:instrText>
      </w:r>
      <w:r>
        <w:fldChar w:fldCharType="separate"/>
      </w:r>
      <w:r>
        <w:rPr>
          <w:rStyle w:val="33"/>
          <w:rFonts w:hint="eastAsia" w:ascii="仿宋_GB2312" w:hAnsi="黑体" w:eastAsia="仿宋_GB2312"/>
          <w:b w:val="0"/>
          <w:i w:val="0"/>
          <w:sz w:val="28"/>
          <w:szCs w:val="28"/>
        </w:rPr>
        <w:t>第一部分 部门概况</w:t>
      </w:r>
      <w:r>
        <w:rPr>
          <w:rFonts w:hint="eastAsia" w:ascii="仿宋_GB2312" w:eastAsia="仿宋_GB2312"/>
          <w:b w:val="0"/>
          <w:i w:val="0"/>
          <w:sz w:val="28"/>
          <w:szCs w:val="28"/>
        </w:rPr>
        <w:tab/>
      </w:r>
      <w:r>
        <w:rPr>
          <w:rFonts w:hint="eastAsia" w:ascii="仿宋_GB2312" w:eastAsia="仿宋_GB2312"/>
          <w:b w:val="0"/>
          <w:i w:val="0"/>
          <w:sz w:val="28"/>
          <w:szCs w:val="28"/>
        </w:rPr>
        <w:fldChar w:fldCharType="begin"/>
      </w:r>
      <w:r>
        <w:rPr>
          <w:rFonts w:hint="eastAsia" w:ascii="仿宋_GB2312" w:eastAsia="仿宋_GB2312"/>
          <w:b w:val="0"/>
          <w:i w:val="0"/>
          <w:sz w:val="28"/>
          <w:szCs w:val="28"/>
        </w:rPr>
        <w:instrText xml:space="preserve"> PAGEREF _Toc49976112 \h </w:instrText>
      </w:r>
      <w:r>
        <w:rPr>
          <w:rFonts w:hint="eastAsia" w:ascii="仿宋_GB2312" w:eastAsia="仿宋_GB2312"/>
          <w:b w:val="0"/>
          <w:i w:val="0"/>
          <w:sz w:val="28"/>
          <w:szCs w:val="28"/>
        </w:rPr>
        <w:fldChar w:fldCharType="separate"/>
      </w:r>
      <w:r>
        <w:rPr>
          <w:rFonts w:hint="eastAsia" w:ascii="仿宋_GB2312" w:eastAsia="仿宋_GB2312"/>
          <w:b w:val="0"/>
          <w:i w:val="0"/>
          <w:sz w:val="28"/>
          <w:szCs w:val="28"/>
        </w:rPr>
        <w:t>3</w:t>
      </w:r>
      <w:r>
        <w:rPr>
          <w:rFonts w:hint="eastAsia" w:ascii="仿宋_GB2312" w:eastAsia="仿宋_GB2312"/>
          <w:b w:val="0"/>
          <w:i w:val="0"/>
          <w:sz w:val="28"/>
          <w:szCs w:val="28"/>
        </w:rPr>
        <w:fldChar w:fldCharType="end"/>
      </w:r>
      <w:r>
        <w:rPr>
          <w:rFonts w:hint="eastAsia" w:ascii="仿宋_GB2312" w:eastAsia="仿宋_GB2312"/>
          <w:b w:val="0"/>
          <w:i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"_Toc49976113" </w:instrText>
      </w:r>
      <w:r>
        <w:fldChar w:fldCharType="separate"/>
      </w:r>
      <w:r>
        <w:rPr>
          <w:rStyle w:val="33"/>
          <w:rFonts w:hint="eastAsia" w:ascii="仿宋_GB2312" w:hAnsi="黑体" w:eastAsia="仿宋_GB2312"/>
          <w:b w:val="0"/>
          <w:sz w:val="28"/>
          <w:szCs w:val="28"/>
        </w:rPr>
        <w:t>一、基本职能及主要工作</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_Toc49976113 \h </w:instrText>
      </w:r>
      <w:r>
        <w:rPr>
          <w:rFonts w:hint="eastAsia" w:ascii="仿宋_GB2312" w:eastAsia="仿宋_GB2312"/>
          <w:b w:val="0"/>
          <w:sz w:val="28"/>
          <w:szCs w:val="28"/>
        </w:rPr>
        <w:fldChar w:fldCharType="separate"/>
      </w:r>
      <w:r>
        <w:rPr>
          <w:rFonts w:hint="eastAsia" w:ascii="仿宋_GB2312" w:eastAsia="仿宋_GB2312"/>
          <w:b w:val="0"/>
          <w:sz w:val="28"/>
          <w:szCs w:val="28"/>
        </w:rPr>
        <w:t>3</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"_Toc49976114" </w:instrText>
      </w:r>
      <w:r>
        <w:fldChar w:fldCharType="separate"/>
      </w:r>
      <w:r>
        <w:rPr>
          <w:rStyle w:val="33"/>
          <w:rFonts w:hint="eastAsia" w:ascii="仿宋_GB2312" w:eastAsia="仿宋_GB2312"/>
          <w:b w:val="0"/>
          <w:sz w:val="28"/>
          <w:szCs w:val="28"/>
        </w:rPr>
        <w:t>二、</w:t>
      </w:r>
      <w:r>
        <w:rPr>
          <w:rStyle w:val="33"/>
          <w:rFonts w:hint="eastAsia" w:ascii="仿宋_GB2312" w:hAnsi="黑体" w:eastAsia="仿宋_GB2312"/>
          <w:b w:val="0"/>
          <w:sz w:val="28"/>
          <w:szCs w:val="28"/>
        </w:rPr>
        <w:t>机构设置</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_Toc49976114 \h </w:instrText>
      </w:r>
      <w:r>
        <w:rPr>
          <w:rFonts w:hint="eastAsia" w:ascii="仿宋_GB2312" w:eastAsia="仿宋_GB2312"/>
          <w:b w:val="0"/>
          <w:sz w:val="28"/>
          <w:szCs w:val="28"/>
        </w:rPr>
        <w:fldChar w:fldCharType="separate"/>
      </w:r>
      <w:r>
        <w:rPr>
          <w:rFonts w:hint="eastAsia" w:ascii="仿宋_GB2312" w:eastAsia="仿宋_GB2312"/>
          <w:b w:val="0"/>
          <w:sz w:val="28"/>
          <w:szCs w:val="28"/>
        </w:rPr>
        <w:t>3</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17"/>
        <w:tabs>
          <w:tab w:val="right" w:leader="dot" w:pos="8834"/>
        </w:tabs>
        <w:spacing w:line="500" w:lineRule="exact"/>
        <w:rPr>
          <w:rFonts w:ascii="仿宋_GB2312" w:hAnsi="等线" w:eastAsia="仿宋_GB2312"/>
          <w:b w:val="0"/>
          <w:bCs w:val="0"/>
          <w:i w:val="0"/>
          <w:iCs w:val="0"/>
          <w:sz w:val="28"/>
          <w:szCs w:val="28"/>
        </w:rPr>
      </w:pPr>
      <w:r>
        <w:fldChar w:fldCharType="begin"/>
      </w:r>
      <w:r>
        <w:instrText xml:space="preserve"> HYPERLINK \l "_Toc49976115" </w:instrText>
      </w:r>
      <w:r>
        <w:fldChar w:fldCharType="separate"/>
      </w:r>
      <w:r>
        <w:rPr>
          <w:rStyle w:val="33"/>
          <w:rFonts w:hint="eastAsia" w:ascii="仿宋_GB2312" w:hAnsi="黑体" w:eastAsia="仿宋_GB2312"/>
          <w:b w:val="0"/>
          <w:i w:val="0"/>
          <w:sz w:val="28"/>
          <w:szCs w:val="28"/>
        </w:rPr>
        <w:t>第二部分 20</w:t>
      </w:r>
      <w:r>
        <w:rPr>
          <w:rStyle w:val="33"/>
          <w:rFonts w:hint="eastAsia" w:ascii="仿宋_GB2312" w:hAnsi="黑体" w:eastAsia="仿宋_GB2312"/>
          <w:b w:val="0"/>
          <w:i w:val="0"/>
          <w:sz w:val="28"/>
          <w:szCs w:val="28"/>
          <w:lang w:val="en-US" w:eastAsia="zh-CN"/>
        </w:rPr>
        <w:t>20</w:t>
      </w:r>
      <w:r>
        <w:rPr>
          <w:rStyle w:val="33"/>
          <w:rFonts w:hint="eastAsia" w:ascii="仿宋_GB2312" w:hAnsi="黑体" w:eastAsia="仿宋_GB2312"/>
          <w:b w:val="0"/>
          <w:i w:val="0"/>
          <w:sz w:val="28"/>
          <w:szCs w:val="28"/>
        </w:rPr>
        <w:t>年度部门决算情况说明</w:t>
      </w:r>
      <w:r>
        <w:rPr>
          <w:rFonts w:hint="eastAsia" w:ascii="仿宋_GB2312" w:eastAsia="仿宋_GB2312"/>
          <w:b w:val="0"/>
          <w:i w:val="0"/>
          <w:sz w:val="28"/>
          <w:szCs w:val="28"/>
        </w:rPr>
        <w:tab/>
      </w:r>
      <w:r>
        <w:rPr>
          <w:rFonts w:hint="eastAsia" w:ascii="仿宋_GB2312" w:eastAsia="仿宋_GB2312"/>
          <w:b w:val="0"/>
          <w:i w:val="0"/>
          <w:sz w:val="28"/>
          <w:szCs w:val="28"/>
        </w:rPr>
        <w:fldChar w:fldCharType="begin"/>
      </w:r>
      <w:r>
        <w:rPr>
          <w:rFonts w:hint="eastAsia" w:ascii="仿宋_GB2312" w:eastAsia="仿宋_GB2312"/>
          <w:b w:val="0"/>
          <w:i w:val="0"/>
          <w:sz w:val="28"/>
          <w:szCs w:val="28"/>
        </w:rPr>
        <w:instrText xml:space="preserve"> PAGEREF _Toc49976115 \h </w:instrText>
      </w:r>
      <w:r>
        <w:rPr>
          <w:rFonts w:hint="eastAsia" w:ascii="仿宋_GB2312" w:eastAsia="仿宋_GB2312"/>
          <w:b w:val="0"/>
          <w:i w:val="0"/>
          <w:sz w:val="28"/>
          <w:szCs w:val="28"/>
        </w:rPr>
        <w:fldChar w:fldCharType="separate"/>
      </w:r>
      <w:r>
        <w:rPr>
          <w:rFonts w:hint="eastAsia" w:ascii="仿宋_GB2312" w:eastAsia="仿宋_GB2312"/>
          <w:b w:val="0"/>
          <w:i w:val="0"/>
          <w:sz w:val="28"/>
          <w:szCs w:val="28"/>
        </w:rPr>
        <w:t>5</w:t>
      </w:r>
      <w:r>
        <w:rPr>
          <w:rFonts w:hint="eastAsia" w:ascii="仿宋_GB2312" w:eastAsia="仿宋_GB2312"/>
          <w:b w:val="0"/>
          <w:i w:val="0"/>
          <w:sz w:val="28"/>
          <w:szCs w:val="28"/>
        </w:rPr>
        <w:fldChar w:fldCharType="end"/>
      </w:r>
      <w:r>
        <w:rPr>
          <w:rFonts w:hint="eastAsia" w:ascii="仿宋_GB2312" w:eastAsia="仿宋_GB2312"/>
          <w:b w:val="0"/>
          <w:i w:val="0"/>
          <w:sz w:val="28"/>
          <w:szCs w:val="28"/>
        </w:rPr>
        <w:fldChar w:fldCharType="end"/>
      </w:r>
    </w:p>
    <w:p>
      <w:pPr>
        <w:pStyle w:val="22"/>
        <w:tabs>
          <w:tab w:val="left" w:pos="1200"/>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"_Toc49976116" </w:instrText>
      </w:r>
      <w:r>
        <w:fldChar w:fldCharType="separate"/>
      </w:r>
      <w:r>
        <w:rPr>
          <w:rStyle w:val="33"/>
          <w:rFonts w:hint="eastAsia" w:ascii="仿宋_GB2312" w:hAnsi="黑体" w:eastAsia="仿宋_GB2312"/>
          <w:b w:val="0"/>
          <w:sz w:val="28"/>
          <w:szCs w:val="28"/>
        </w:rPr>
        <w:t>一、</w:t>
      </w:r>
      <w:r>
        <w:rPr>
          <w:rFonts w:hint="eastAsia" w:ascii="仿宋_GB2312" w:hAnsi="等线" w:eastAsia="仿宋_GB2312"/>
          <w:b w:val="0"/>
          <w:bCs w:val="0"/>
          <w:sz w:val="28"/>
          <w:szCs w:val="28"/>
        </w:rPr>
        <w:tab/>
      </w:r>
      <w:r>
        <w:rPr>
          <w:rStyle w:val="33"/>
          <w:rFonts w:hint="eastAsia" w:ascii="仿宋_GB2312" w:hAnsi="黑体" w:eastAsia="仿宋_GB2312"/>
          <w:b w:val="0"/>
          <w:sz w:val="28"/>
          <w:szCs w:val="28"/>
        </w:rPr>
        <w:t>收入支出决算总体情况说明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_Toc49976116 \h </w:instrText>
      </w:r>
      <w:r>
        <w:rPr>
          <w:rFonts w:hint="eastAsia" w:ascii="仿宋_GB2312" w:eastAsia="仿宋_GB2312"/>
          <w:b w:val="0"/>
          <w:sz w:val="28"/>
          <w:szCs w:val="28"/>
        </w:rPr>
        <w:fldChar w:fldCharType="separate"/>
      </w:r>
      <w:r>
        <w:rPr>
          <w:rFonts w:hint="eastAsia" w:ascii="仿宋_GB2312" w:eastAsia="仿宋_GB2312"/>
          <w:b w:val="0"/>
          <w:sz w:val="28"/>
          <w:szCs w:val="28"/>
        </w:rPr>
        <w:t>5</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left" w:pos="1200"/>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"_Toc49976117" </w:instrText>
      </w:r>
      <w:r>
        <w:fldChar w:fldCharType="separate"/>
      </w:r>
      <w:r>
        <w:rPr>
          <w:rStyle w:val="33"/>
          <w:rFonts w:hint="eastAsia" w:ascii="仿宋_GB2312" w:hAnsi="黑体" w:eastAsia="仿宋_GB2312"/>
          <w:b w:val="0"/>
          <w:sz w:val="28"/>
          <w:szCs w:val="28"/>
        </w:rPr>
        <w:t>二、</w:t>
      </w:r>
      <w:r>
        <w:rPr>
          <w:rFonts w:hint="eastAsia" w:ascii="仿宋_GB2312" w:hAnsi="等线" w:eastAsia="仿宋_GB2312"/>
          <w:b w:val="0"/>
          <w:bCs w:val="0"/>
          <w:sz w:val="28"/>
          <w:szCs w:val="28"/>
        </w:rPr>
        <w:tab/>
      </w:r>
      <w:r>
        <w:rPr>
          <w:rStyle w:val="33"/>
          <w:rFonts w:hint="eastAsia" w:ascii="仿宋_GB2312" w:hAnsi="黑体" w:eastAsia="仿宋_GB2312"/>
          <w:b w:val="0"/>
          <w:sz w:val="28"/>
          <w:szCs w:val="28"/>
        </w:rPr>
        <w:t>收入决算情况说明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_Toc49976117 \h </w:instrText>
      </w:r>
      <w:r>
        <w:rPr>
          <w:rFonts w:hint="eastAsia" w:ascii="仿宋_GB2312" w:eastAsia="仿宋_GB2312"/>
          <w:b w:val="0"/>
          <w:sz w:val="28"/>
          <w:szCs w:val="28"/>
        </w:rPr>
        <w:fldChar w:fldCharType="separate"/>
      </w:r>
      <w:r>
        <w:rPr>
          <w:rFonts w:hint="eastAsia" w:ascii="仿宋_GB2312" w:eastAsia="仿宋_GB2312"/>
          <w:b w:val="0"/>
          <w:sz w:val="28"/>
          <w:szCs w:val="28"/>
        </w:rPr>
        <w:t>5</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left" w:pos="1200"/>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"_Toc49976118" </w:instrText>
      </w:r>
      <w:r>
        <w:fldChar w:fldCharType="separate"/>
      </w:r>
      <w:r>
        <w:rPr>
          <w:rStyle w:val="33"/>
          <w:rFonts w:hint="eastAsia" w:ascii="仿宋_GB2312" w:hAnsi="黑体" w:eastAsia="仿宋_GB2312"/>
          <w:b w:val="0"/>
          <w:sz w:val="28"/>
          <w:szCs w:val="28"/>
        </w:rPr>
        <w:t>三、</w:t>
      </w:r>
      <w:r>
        <w:rPr>
          <w:rFonts w:hint="eastAsia" w:ascii="仿宋_GB2312" w:hAnsi="等线" w:eastAsia="仿宋_GB2312"/>
          <w:b w:val="0"/>
          <w:bCs w:val="0"/>
          <w:sz w:val="28"/>
          <w:szCs w:val="28"/>
        </w:rPr>
        <w:tab/>
      </w:r>
      <w:r>
        <w:rPr>
          <w:rStyle w:val="33"/>
          <w:rFonts w:hint="eastAsia" w:ascii="仿宋_GB2312" w:hAnsi="黑体" w:eastAsia="仿宋_GB2312"/>
          <w:b w:val="0"/>
          <w:sz w:val="28"/>
          <w:szCs w:val="28"/>
        </w:rPr>
        <w:t>支出决算情况说明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_Toc49976118 \h </w:instrText>
      </w:r>
      <w:r>
        <w:rPr>
          <w:rFonts w:hint="eastAsia" w:ascii="仿宋_GB2312" w:eastAsia="仿宋_GB2312"/>
          <w:b w:val="0"/>
          <w:sz w:val="28"/>
          <w:szCs w:val="28"/>
        </w:rPr>
        <w:fldChar w:fldCharType="separate"/>
      </w:r>
      <w:r>
        <w:rPr>
          <w:rFonts w:hint="eastAsia" w:ascii="仿宋_GB2312" w:eastAsia="仿宋_GB2312"/>
          <w:b w:val="0"/>
          <w:sz w:val="28"/>
          <w:szCs w:val="28"/>
        </w:rPr>
        <w:t>6</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"_Toc49976119" </w:instrText>
      </w:r>
      <w:r>
        <w:fldChar w:fldCharType="separate"/>
      </w:r>
      <w:r>
        <w:rPr>
          <w:rStyle w:val="33"/>
          <w:rFonts w:hint="eastAsia" w:ascii="仿宋_GB2312" w:hAnsi="黑体" w:eastAsia="仿宋_GB2312"/>
          <w:b w:val="0"/>
          <w:sz w:val="28"/>
          <w:szCs w:val="28"/>
        </w:rPr>
        <w:t>四、财政拨款收入支出决算总体情况说明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_Toc49976119 \h </w:instrText>
      </w:r>
      <w:r>
        <w:rPr>
          <w:rFonts w:hint="eastAsia" w:ascii="仿宋_GB2312" w:eastAsia="仿宋_GB2312"/>
          <w:b w:val="0"/>
          <w:sz w:val="28"/>
          <w:szCs w:val="28"/>
        </w:rPr>
        <w:fldChar w:fldCharType="separate"/>
      </w:r>
      <w:r>
        <w:rPr>
          <w:rFonts w:hint="eastAsia" w:ascii="仿宋_GB2312" w:eastAsia="仿宋_GB2312"/>
          <w:b w:val="0"/>
          <w:sz w:val="28"/>
          <w:szCs w:val="28"/>
        </w:rPr>
        <w:t>6</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"_Toc49976120" </w:instrText>
      </w:r>
      <w:r>
        <w:fldChar w:fldCharType="separate"/>
      </w:r>
      <w:r>
        <w:rPr>
          <w:rStyle w:val="33"/>
          <w:rFonts w:hint="eastAsia" w:ascii="仿宋_GB2312" w:hAnsi="黑体" w:eastAsia="仿宋_GB2312"/>
          <w:b w:val="0"/>
          <w:sz w:val="28"/>
          <w:szCs w:val="28"/>
        </w:rPr>
        <w:t>五、一般公共预算财政拨款支出决算情况说明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_Toc49976120 \h </w:instrText>
      </w:r>
      <w:r>
        <w:rPr>
          <w:rFonts w:hint="eastAsia" w:ascii="仿宋_GB2312" w:eastAsia="仿宋_GB2312"/>
          <w:b w:val="0"/>
          <w:sz w:val="28"/>
          <w:szCs w:val="28"/>
        </w:rPr>
        <w:fldChar w:fldCharType="separate"/>
      </w:r>
      <w:r>
        <w:rPr>
          <w:rFonts w:hint="eastAsia" w:ascii="仿宋_GB2312" w:eastAsia="仿宋_GB2312"/>
          <w:b w:val="0"/>
          <w:sz w:val="28"/>
          <w:szCs w:val="28"/>
        </w:rPr>
        <w:t>6</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"_Toc49976121" </w:instrText>
      </w:r>
      <w:r>
        <w:fldChar w:fldCharType="separate"/>
      </w:r>
      <w:r>
        <w:rPr>
          <w:rStyle w:val="33"/>
          <w:rFonts w:hint="eastAsia" w:ascii="仿宋_GB2312" w:eastAsia="仿宋_GB2312"/>
          <w:b w:val="0"/>
          <w:sz w:val="28"/>
          <w:szCs w:val="28"/>
        </w:rPr>
        <w:t>六、</w:t>
      </w:r>
      <w:r>
        <w:rPr>
          <w:rStyle w:val="33"/>
          <w:rFonts w:hint="eastAsia" w:ascii="仿宋_GB2312" w:hAnsi="黑体" w:eastAsia="仿宋_GB2312"/>
          <w:b w:val="0"/>
          <w:sz w:val="28"/>
          <w:szCs w:val="28"/>
        </w:rPr>
        <w:t>一般公共预算财政拨款基本支出决算情况说明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_Toc49976121 \h </w:instrText>
      </w:r>
      <w:r>
        <w:rPr>
          <w:rFonts w:hint="eastAsia" w:ascii="仿宋_GB2312" w:eastAsia="仿宋_GB2312"/>
          <w:b w:val="0"/>
          <w:sz w:val="28"/>
          <w:szCs w:val="28"/>
        </w:rPr>
        <w:fldChar w:fldCharType="separate"/>
      </w:r>
      <w:r>
        <w:rPr>
          <w:rFonts w:hint="eastAsia" w:ascii="仿宋_GB2312" w:eastAsia="仿宋_GB2312"/>
          <w:b w:val="0"/>
          <w:sz w:val="28"/>
          <w:szCs w:val="28"/>
        </w:rPr>
        <w:t>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"_Toc49976122" </w:instrText>
      </w:r>
      <w:r>
        <w:fldChar w:fldCharType="separate"/>
      </w:r>
      <w:r>
        <w:rPr>
          <w:rStyle w:val="33"/>
          <w:rFonts w:hint="eastAsia" w:ascii="仿宋_GB2312" w:eastAsia="仿宋_GB2312"/>
          <w:b w:val="0"/>
          <w:sz w:val="28"/>
          <w:szCs w:val="28"/>
        </w:rPr>
        <w:t>七、</w:t>
      </w:r>
      <w:r>
        <w:rPr>
          <w:rStyle w:val="33"/>
          <w:rFonts w:hint="eastAsia" w:ascii="仿宋_GB2312" w:hAnsi="黑体" w:eastAsia="仿宋_GB2312"/>
          <w:b w:val="0"/>
          <w:sz w:val="28"/>
          <w:szCs w:val="28"/>
        </w:rPr>
        <w:t>“三公”经费财政拨款支出决算情况说明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_Toc49976122 \h </w:instrText>
      </w:r>
      <w:r>
        <w:rPr>
          <w:rFonts w:hint="eastAsia" w:ascii="仿宋_GB2312" w:eastAsia="仿宋_GB2312"/>
          <w:b w:val="0"/>
          <w:sz w:val="28"/>
          <w:szCs w:val="28"/>
        </w:rPr>
        <w:fldChar w:fldCharType="separate"/>
      </w:r>
      <w:r>
        <w:rPr>
          <w:rFonts w:hint="eastAsia" w:ascii="仿宋_GB2312" w:eastAsia="仿宋_GB2312"/>
          <w:b w:val="0"/>
          <w:sz w:val="28"/>
          <w:szCs w:val="28"/>
        </w:rPr>
        <w:t>9</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"_Toc49976123" </w:instrText>
      </w:r>
      <w:r>
        <w:fldChar w:fldCharType="separate"/>
      </w:r>
      <w:r>
        <w:rPr>
          <w:rStyle w:val="33"/>
          <w:rFonts w:hint="eastAsia" w:ascii="仿宋_GB2312" w:eastAsia="仿宋_GB2312"/>
          <w:b w:val="0"/>
          <w:sz w:val="28"/>
          <w:szCs w:val="28"/>
        </w:rPr>
        <w:t>八、</w:t>
      </w:r>
      <w:r>
        <w:rPr>
          <w:rStyle w:val="33"/>
          <w:rFonts w:hint="eastAsia" w:ascii="仿宋_GB2312" w:hAnsi="黑体" w:eastAsia="仿宋_GB2312"/>
          <w:b w:val="0"/>
          <w:sz w:val="28"/>
          <w:szCs w:val="28"/>
        </w:rPr>
        <w:t>政府性基金预算支出决算情况说明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_Toc49976123 \h </w:instrText>
      </w:r>
      <w:r>
        <w:rPr>
          <w:rFonts w:hint="eastAsia" w:ascii="仿宋_GB2312" w:eastAsia="仿宋_GB2312"/>
          <w:b w:val="0"/>
          <w:sz w:val="28"/>
          <w:szCs w:val="28"/>
        </w:rPr>
        <w:fldChar w:fldCharType="separate"/>
      </w:r>
      <w:r>
        <w:rPr>
          <w:rFonts w:hint="eastAsia" w:ascii="仿宋_GB2312" w:eastAsia="仿宋_GB2312"/>
          <w:b w:val="0"/>
          <w:sz w:val="28"/>
          <w:szCs w:val="28"/>
        </w:rPr>
        <w:t>10</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"_Toc49976124" </w:instrText>
      </w:r>
      <w:r>
        <w:fldChar w:fldCharType="separate"/>
      </w:r>
      <w:r>
        <w:rPr>
          <w:rStyle w:val="33"/>
          <w:rFonts w:hint="eastAsia" w:ascii="仿宋_GB2312" w:hAnsi="黑体" w:eastAsia="仿宋_GB2312"/>
          <w:b w:val="0"/>
          <w:sz w:val="28"/>
          <w:szCs w:val="28"/>
        </w:rPr>
        <w:t>九、 国有资本经营预算支出决算情况说明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_Toc49976124 \h </w:instrText>
      </w:r>
      <w:r>
        <w:rPr>
          <w:rFonts w:hint="eastAsia" w:ascii="仿宋_GB2312" w:eastAsia="仿宋_GB2312"/>
          <w:b w:val="0"/>
          <w:sz w:val="28"/>
          <w:szCs w:val="28"/>
        </w:rPr>
        <w:fldChar w:fldCharType="separate"/>
      </w:r>
      <w:r>
        <w:rPr>
          <w:rFonts w:hint="eastAsia" w:ascii="仿宋_GB2312" w:eastAsia="仿宋_GB2312"/>
          <w:b w:val="0"/>
          <w:sz w:val="28"/>
          <w:szCs w:val="28"/>
        </w:rPr>
        <w:t>10</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"_Toc49976125" </w:instrText>
      </w:r>
      <w:r>
        <w:fldChar w:fldCharType="separate"/>
      </w:r>
      <w:r>
        <w:rPr>
          <w:rStyle w:val="33"/>
          <w:rFonts w:hint="eastAsia" w:ascii="仿宋_GB2312" w:hAnsi="黑体" w:eastAsia="仿宋_GB2312"/>
          <w:b w:val="0"/>
          <w:sz w:val="28"/>
          <w:szCs w:val="28"/>
        </w:rPr>
        <w:t>十、其他重要事项的情况说明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_Toc49976125 \h </w:instrText>
      </w:r>
      <w:r>
        <w:rPr>
          <w:rFonts w:hint="eastAsia" w:ascii="仿宋_GB2312" w:eastAsia="仿宋_GB2312"/>
          <w:b w:val="0"/>
          <w:sz w:val="28"/>
          <w:szCs w:val="28"/>
        </w:rPr>
        <w:fldChar w:fldCharType="separate"/>
      </w:r>
      <w:r>
        <w:rPr>
          <w:rFonts w:hint="eastAsia" w:ascii="仿宋_GB2312" w:eastAsia="仿宋_GB2312"/>
          <w:b w:val="0"/>
          <w:sz w:val="28"/>
          <w:szCs w:val="28"/>
        </w:rPr>
        <w:t>10</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17"/>
        <w:tabs>
          <w:tab w:val="right" w:leader="dot" w:pos="8834"/>
        </w:tabs>
        <w:spacing w:line="500" w:lineRule="exact"/>
        <w:rPr>
          <w:rFonts w:ascii="仿宋_GB2312" w:hAnsi="等线" w:eastAsia="仿宋_GB2312"/>
          <w:b w:val="0"/>
          <w:bCs w:val="0"/>
          <w:i w:val="0"/>
          <w:iCs w:val="0"/>
          <w:sz w:val="28"/>
          <w:szCs w:val="28"/>
        </w:rPr>
      </w:pPr>
      <w:r>
        <w:fldChar w:fldCharType="begin"/>
      </w:r>
      <w:r>
        <w:instrText xml:space="preserve"> HYPERLINK \l "_Toc49976126" </w:instrText>
      </w:r>
      <w:r>
        <w:fldChar w:fldCharType="separate"/>
      </w:r>
      <w:r>
        <w:rPr>
          <w:rStyle w:val="33"/>
          <w:rFonts w:hint="eastAsia" w:ascii="仿宋_GB2312" w:hAnsi="黑体" w:eastAsia="仿宋_GB2312"/>
          <w:b w:val="0"/>
          <w:i w:val="0"/>
          <w:kern w:val="44"/>
          <w:sz w:val="28"/>
          <w:szCs w:val="28"/>
        </w:rPr>
        <w:t>第三部分</w:t>
      </w:r>
      <w:r>
        <w:rPr>
          <w:rStyle w:val="33"/>
          <w:rFonts w:hint="eastAsia" w:ascii="仿宋_GB2312" w:hAnsi="黑体" w:eastAsia="仿宋_GB2312"/>
          <w:b w:val="0"/>
          <w:i w:val="0"/>
          <w:sz w:val="28"/>
          <w:szCs w:val="28"/>
        </w:rPr>
        <w:t xml:space="preserve"> 名</w:t>
      </w:r>
      <w:r>
        <w:rPr>
          <w:rStyle w:val="33"/>
          <w:rFonts w:hint="eastAsia" w:ascii="仿宋_GB2312" w:hAnsi="黑体" w:eastAsia="仿宋_GB2312"/>
          <w:b w:val="0"/>
          <w:i w:val="0"/>
          <w:kern w:val="44"/>
          <w:sz w:val="28"/>
          <w:szCs w:val="28"/>
        </w:rPr>
        <w:t>词解释</w:t>
      </w:r>
      <w:r>
        <w:rPr>
          <w:rFonts w:hint="eastAsia" w:ascii="仿宋_GB2312" w:eastAsia="仿宋_GB2312"/>
          <w:b w:val="0"/>
          <w:i w:val="0"/>
          <w:sz w:val="28"/>
          <w:szCs w:val="28"/>
        </w:rPr>
        <w:tab/>
      </w:r>
      <w:r>
        <w:rPr>
          <w:rFonts w:hint="eastAsia" w:ascii="仿宋_GB2312" w:eastAsia="仿宋_GB2312"/>
          <w:b w:val="0"/>
          <w:i w:val="0"/>
          <w:sz w:val="28"/>
          <w:szCs w:val="28"/>
        </w:rPr>
        <w:fldChar w:fldCharType="begin"/>
      </w:r>
      <w:r>
        <w:rPr>
          <w:rFonts w:hint="eastAsia" w:ascii="仿宋_GB2312" w:eastAsia="仿宋_GB2312"/>
          <w:b w:val="0"/>
          <w:i w:val="0"/>
          <w:sz w:val="28"/>
          <w:szCs w:val="28"/>
        </w:rPr>
        <w:instrText xml:space="preserve"> PAGEREF _Toc49976126 \h </w:instrText>
      </w:r>
      <w:r>
        <w:rPr>
          <w:rFonts w:hint="eastAsia" w:ascii="仿宋_GB2312" w:eastAsia="仿宋_GB2312"/>
          <w:b w:val="0"/>
          <w:i w:val="0"/>
          <w:sz w:val="28"/>
          <w:szCs w:val="28"/>
        </w:rPr>
        <w:fldChar w:fldCharType="separate"/>
      </w:r>
      <w:r>
        <w:rPr>
          <w:rFonts w:hint="eastAsia" w:ascii="仿宋_GB2312" w:eastAsia="仿宋_GB2312"/>
          <w:b w:val="0"/>
          <w:i w:val="0"/>
          <w:sz w:val="28"/>
          <w:szCs w:val="28"/>
        </w:rPr>
        <w:t>19</w:t>
      </w:r>
      <w:r>
        <w:rPr>
          <w:rFonts w:hint="eastAsia" w:ascii="仿宋_GB2312" w:eastAsia="仿宋_GB2312"/>
          <w:b w:val="0"/>
          <w:i w:val="0"/>
          <w:sz w:val="28"/>
          <w:szCs w:val="28"/>
        </w:rPr>
        <w:fldChar w:fldCharType="end"/>
      </w:r>
      <w:r>
        <w:rPr>
          <w:rFonts w:hint="eastAsia" w:ascii="仿宋_GB2312" w:eastAsia="仿宋_GB2312"/>
          <w:b w:val="0"/>
          <w:i w:val="0"/>
          <w:sz w:val="28"/>
          <w:szCs w:val="28"/>
        </w:rPr>
        <w:fldChar w:fldCharType="end"/>
      </w:r>
    </w:p>
    <w:p>
      <w:pPr>
        <w:pStyle w:val="17"/>
        <w:tabs>
          <w:tab w:val="right" w:leader="dot" w:pos="8834"/>
        </w:tabs>
        <w:spacing w:line="500" w:lineRule="exact"/>
        <w:rPr>
          <w:rFonts w:ascii="仿宋_GB2312" w:hAnsi="等线" w:eastAsia="仿宋_GB2312"/>
          <w:b w:val="0"/>
          <w:bCs w:val="0"/>
          <w:i w:val="0"/>
          <w:iCs w:val="0"/>
          <w:sz w:val="28"/>
          <w:szCs w:val="28"/>
        </w:rPr>
      </w:pPr>
      <w:r>
        <w:fldChar w:fldCharType="begin"/>
      </w:r>
      <w:r>
        <w:instrText xml:space="preserve"> HYPERLINK \l "_Toc49976127" </w:instrText>
      </w:r>
      <w:r>
        <w:fldChar w:fldCharType="separate"/>
      </w:r>
      <w:r>
        <w:rPr>
          <w:rStyle w:val="33"/>
          <w:rFonts w:hint="eastAsia" w:ascii="仿宋_GB2312" w:hAnsi="黑体" w:eastAsia="仿宋_GB2312"/>
          <w:b w:val="0"/>
          <w:i w:val="0"/>
          <w:sz w:val="28"/>
          <w:szCs w:val="28"/>
        </w:rPr>
        <w:t>第</w:t>
      </w:r>
      <w:r>
        <w:rPr>
          <w:rStyle w:val="33"/>
          <w:rFonts w:hint="eastAsia" w:ascii="仿宋_GB2312" w:hAnsi="黑体" w:eastAsia="仿宋_GB2312"/>
          <w:b w:val="0"/>
          <w:i w:val="0"/>
          <w:kern w:val="44"/>
          <w:sz w:val="28"/>
          <w:szCs w:val="28"/>
        </w:rPr>
        <w:t>四部分 附件</w:t>
      </w:r>
      <w:r>
        <w:rPr>
          <w:rFonts w:hint="eastAsia" w:ascii="仿宋_GB2312" w:eastAsia="仿宋_GB2312"/>
          <w:b w:val="0"/>
          <w:i w:val="0"/>
          <w:sz w:val="28"/>
          <w:szCs w:val="28"/>
        </w:rPr>
        <w:tab/>
      </w:r>
      <w:r>
        <w:rPr>
          <w:rFonts w:hint="eastAsia" w:ascii="仿宋_GB2312" w:eastAsia="仿宋_GB2312"/>
          <w:b w:val="0"/>
          <w:i w:val="0"/>
          <w:sz w:val="28"/>
          <w:szCs w:val="28"/>
        </w:rPr>
        <w:fldChar w:fldCharType="begin"/>
      </w:r>
      <w:r>
        <w:rPr>
          <w:rFonts w:hint="eastAsia" w:ascii="仿宋_GB2312" w:eastAsia="仿宋_GB2312"/>
          <w:b w:val="0"/>
          <w:i w:val="0"/>
          <w:sz w:val="28"/>
          <w:szCs w:val="28"/>
        </w:rPr>
        <w:instrText xml:space="preserve"> PAGEREF _Toc49976127 \h </w:instrText>
      </w:r>
      <w:r>
        <w:rPr>
          <w:rFonts w:hint="eastAsia" w:ascii="仿宋_GB2312" w:eastAsia="仿宋_GB2312"/>
          <w:b w:val="0"/>
          <w:i w:val="0"/>
          <w:sz w:val="28"/>
          <w:szCs w:val="28"/>
        </w:rPr>
        <w:fldChar w:fldCharType="separate"/>
      </w:r>
      <w:r>
        <w:rPr>
          <w:rFonts w:hint="eastAsia" w:ascii="仿宋_GB2312" w:eastAsia="仿宋_GB2312"/>
          <w:b w:val="0"/>
          <w:i w:val="0"/>
          <w:sz w:val="28"/>
          <w:szCs w:val="28"/>
        </w:rPr>
        <w:t>22</w:t>
      </w:r>
      <w:r>
        <w:rPr>
          <w:rFonts w:hint="eastAsia" w:ascii="仿宋_GB2312" w:eastAsia="仿宋_GB2312"/>
          <w:b w:val="0"/>
          <w:i w:val="0"/>
          <w:sz w:val="28"/>
          <w:szCs w:val="28"/>
        </w:rPr>
        <w:fldChar w:fldCharType="end"/>
      </w:r>
      <w:r>
        <w:rPr>
          <w:rFonts w:hint="eastAsia" w:ascii="仿宋_GB2312" w:eastAsia="仿宋_GB2312"/>
          <w:b w:val="0"/>
          <w:i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"_Toc49976128" </w:instrText>
      </w:r>
      <w:r>
        <w:fldChar w:fldCharType="separate"/>
      </w:r>
      <w:r>
        <w:rPr>
          <w:rStyle w:val="33"/>
          <w:rFonts w:hint="eastAsia" w:ascii="仿宋_GB2312" w:hAnsi="黑体" w:eastAsia="仿宋_GB2312" w:cs="黑体"/>
          <w:b w:val="0"/>
          <w:sz w:val="28"/>
          <w:szCs w:val="28"/>
        </w:rPr>
        <w:t>附件1</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_Toc49976128 \h </w:instrText>
      </w:r>
      <w:r>
        <w:rPr>
          <w:rFonts w:hint="eastAsia" w:ascii="仿宋_GB2312" w:eastAsia="仿宋_GB2312"/>
          <w:b w:val="0"/>
          <w:sz w:val="28"/>
          <w:szCs w:val="28"/>
        </w:rPr>
        <w:fldChar w:fldCharType="separate"/>
      </w:r>
      <w:r>
        <w:rPr>
          <w:rFonts w:hint="eastAsia" w:ascii="仿宋_GB2312" w:eastAsia="仿宋_GB2312"/>
          <w:b w:val="0"/>
          <w:sz w:val="28"/>
          <w:szCs w:val="28"/>
        </w:rPr>
        <w:t>22</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"_Toc49976129" </w:instrText>
      </w:r>
      <w:r>
        <w:fldChar w:fldCharType="separate"/>
      </w:r>
      <w:r>
        <w:rPr>
          <w:rStyle w:val="33"/>
          <w:rFonts w:hint="eastAsia" w:ascii="仿宋_GB2312" w:hAnsi="黑体" w:eastAsia="仿宋_GB2312" w:cs="黑体"/>
          <w:b w:val="0"/>
          <w:sz w:val="28"/>
          <w:szCs w:val="28"/>
        </w:rPr>
        <w:t>附件2</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_Toc49976129 \h </w:instrText>
      </w:r>
      <w:r>
        <w:rPr>
          <w:rFonts w:hint="eastAsia" w:ascii="仿宋_GB2312" w:eastAsia="仿宋_GB2312"/>
          <w:b w:val="0"/>
          <w:sz w:val="28"/>
          <w:szCs w:val="28"/>
        </w:rPr>
        <w:fldChar w:fldCharType="separate"/>
      </w:r>
      <w:r>
        <w:rPr>
          <w:rFonts w:hint="eastAsia" w:ascii="仿宋_GB2312" w:eastAsia="仿宋_GB2312"/>
          <w:b w:val="0"/>
          <w:sz w:val="28"/>
          <w:szCs w:val="28"/>
        </w:rPr>
        <w:t>25</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17"/>
        <w:tabs>
          <w:tab w:val="right" w:leader="dot" w:pos="8834"/>
        </w:tabs>
        <w:spacing w:line="500" w:lineRule="exact"/>
        <w:rPr>
          <w:rFonts w:ascii="仿宋_GB2312" w:hAnsi="等线" w:eastAsia="仿宋_GB2312"/>
          <w:b w:val="0"/>
          <w:bCs w:val="0"/>
          <w:i w:val="0"/>
          <w:iCs w:val="0"/>
          <w:sz w:val="28"/>
          <w:szCs w:val="28"/>
        </w:rPr>
      </w:pPr>
      <w:r>
        <w:fldChar w:fldCharType="begin"/>
      </w:r>
      <w:r>
        <w:instrText xml:space="preserve"> HYPERLINK \l "_Toc49976130" </w:instrText>
      </w:r>
      <w:r>
        <w:fldChar w:fldCharType="separate"/>
      </w:r>
      <w:r>
        <w:rPr>
          <w:rStyle w:val="33"/>
          <w:rFonts w:hint="eastAsia" w:ascii="仿宋_GB2312" w:hAnsi="黑体" w:eastAsia="仿宋_GB2312"/>
          <w:b w:val="0"/>
          <w:i w:val="0"/>
          <w:sz w:val="28"/>
          <w:szCs w:val="28"/>
        </w:rPr>
        <w:t>第</w:t>
      </w:r>
      <w:r>
        <w:rPr>
          <w:rStyle w:val="33"/>
          <w:rFonts w:hint="eastAsia" w:ascii="仿宋_GB2312" w:hAnsi="黑体" w:eastAsia="仿宋_GB2312"/>
          <w:b w:val="0"/>
          <w:i w:val="0"/>
          <w:kern w:val="44"/>
          <w:sz w:val="28"/>
          <w:szCs w:val="28"/>
        </w:rPr>
        <w:t>五部分 附表</w:t>
      </w:r>
      <w:r>
        <w:rPr>
          <w:rFonts w:hint="eastAsia" w:ascii="仿宋_GB2312" w:eastAsia="仿宋_GB2312"/>
          <w:b w:val="0"/>
          <w:i w:val="0"/>
          <w:sz w:val="28"/>
          <w:szCs w:val="28"/>
        </w:rPr>
        <w:tab/>
      </w:r>
      <w:r>
        <w:rPr>
          <w:rFonts w:hint="eastAsia" w:ascii="仿宋_GB2312" w:eastAsia="仿宋_GB2312"/>
          <w:b w:val="0"/>
          <w:i w:val="0"/>
          <w:sz w:val="28"/>
          <w:szCs w:val="28"/>
        </w:rPr>
        <w:fldChar w:fldCharType="begin"/>
      </w:r>
      <w:r>
        <w:rPr>
          <w:rFonts w:hint="eastAsia" w:ascii="仿宋_GB2312" w:eastAsia="仿宋_GB2312"/>
          <w:b w:val="0"/>
          <w:i w:val="0"/>
          <w:sz w:val="28"/>
          <w:szCs w:val="28"/>
        </w:rPr>
        <w:instrText xml:space="preserve"> PAGEREF _Toc49976130 \h </w:instrText>
      </w:r>
      <w:r>
        <w:rPr>
          <w:rFonts w:hint="eastAsia" w:ascii="仿宋_GB2312" w:eastAsia="仿宋_GB2312"/>
          <w:b w:val="0"/>
          <w:i w:val="0"/>
          <w:sz w:val="28"/>
          <w:szCs w:val="28"/>
        </w:rPr>
        <w:fldChar w:fldCharType="separate"/>
      </w:r>
      <w:r>
        <w:rPr>
          <w:rFonts w:hint="eastAsia" w:ascii="仿宋_GB2312" w:eastAsia="仿宋_GB2312"/>
          <w:b w:val="0"/>
          <w:i w:val="0"/>
          <w:sz w:val="28"/>
          <w:szCs w:val="28"/>
        </w:rPr>
        <w:t>27</w:t>
      </w:r>
      <w:r>
        <w:rPr>
          <w:rFonts w:hint="eastAsia" w:ascii="仿宋_GB2312" w:eastAsia="仿宋_GB2312"/>
          <w:b w:val="0"/>
          <w:i w:val="0"/>
          <w:sz w:val="28"/>
          <w:szCs w:val="28"/>
        </w:rPr>
        <w:fldChar w:fldCharType="end"/>
      </w:r>
      <w:r>
        <w:rPr>
          <w:rFonts w:hint="eastAsia" w:ascii="仿宋_GB2312" w:eastAsia="仿宋_GB2312"/>
          <w:b w:val="0"/>
          <w:i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"_Toc49976131" </w:instrText>
      </w:r>
      <w:r>
        <w:fldChar w:fldCharType="separate"/>
      </w:r>
      <w:r>
        <w:rPr>
          <w:rStyle w:val="33"/>
          <w:rFonts w:hint="eastAsia" w:ascii="仿宋_GB2312" w:hAnsi="仿宋" w:eastAsia="仿宋_GB2312"/>
          <w:b w:val="0"/>
          <w:sz w:val="28"/>
          <w:szCs w:val="28"/>
        </w:rPr>
        <w:t>一、收入支出决算总表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_Toc49976131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"_Toc49976132" </w:instrText>
      </w:r>
      <w:r>
        <w:fldChar w:fldCharType="separate"/>
      </w:r>
      <w:r>
        <w:rPr>
          <w:rStyle w:val="33"/>
          <w:rFonts w:hint="eastAsia" w:ascii="仿宋_GB2312" w:hAnsi="仿宋" w:eastAsia="仿宋_GB2312"/>
          <w:b w:val="0"/>
          <w:sz w:val="28"/>
          <w:szCs w:val="28"/>
        </w:rPr>
        <w:t>二、收入决算表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_Toc49976132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"_Toc49976133" </w:instrText>
      </w:r>
      <w:r>
        <w:fldChar w:fldCharType="separate"/>
      </w:r>
      <w:r>
        <w:rPr>
          <w:rStyle w:val="33"/>
          <w:rFonts w:hint="eastAsia" w:ascii="仿宋_GB2312" w:hAnsi="仿宋" w:eastAsia="仿宋_GB2312"/>
          <w:b w:val="0"/>
          <w:sz w:val="28"/>
          <w:szCs w:val="28"/>
        </w:rPr>
        <w:t>三、支出决算表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_Toc49976133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"_Toc49976134" </w:instrText>
      </w:r>
      <w:r>
        <w:fldChar w:fldCharType="separate"/>
      </w:r>
      <w:r>
        <w:rPr>
          <w:rStyle w:val="33"/>
          <w:rFonts w:hint="eastAsia" w:ascii="仿宋_GB2312" w:hAnsi="仿宋" w:eastAsia="仿宋_GB2312"/>
          <w:b w:val="0"/>
          <w:sz w:val="28"/>
          <w:szCs w:val="28"/>
        </w:rPr>
        <w:t>四、财政拨款收入支出决算总表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_Toc49976134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"_Toc49976135" </w:instrText>
      </w:r>
      <w:r>
        <w:fldChar w:fldCharType="separate"/>
      </w:r>
      <w:r>
        <w:rPr>
          <w:rStyle w:val="33"/>
          <w:rFonts w:hint="eastAsia" w:ascii="仿宋_GB2312" w:hAnsi="仿宋" w:eastAsia="仿宋_GB2312"/>
          <w:b w:val="0"/>
          <w:sz w:val="28"/>
          <w:szCs w:val="28"/>
        </w:rPr>
        <w:t>五、财政拨款支出决算明细表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_Toc49976135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"_Toc49976136" </w:instrText>
      </w:r>
      <w:r>
        <w:fldChar w:fldCharType="separate"/>
      </w:r>
      <w:r>
        <w:rPr>
          <w:rStyle w:val="33"/>
          <w:rFonts w:hint="eastAsia" w:ascii="仿宋_GB2312" w:hAnsi="仿宋" w:eastAsia="仿宋_GB2312"/>
          <w:b w:val="0"/>
          <w:sz w:val="28"/>
          <w:szCs w:val="28"/>
        </w:rPr>
        <w:t>六、一般公共预算财政拨款支出决算表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_Toc49976136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"_Toc49976137" </w:instrText>
      </w:r>
      <w:r>
        <w:fldChar w:fldCharType="separate"/>
      </w:r>
      <w:r>
        <w:rPr>
          <w:rStyle w:val="33"/>
          <w:rFonts w:hint="eastAsia" w:ascii="仿宋_GB2312" w:hAnsi="仿宋" w:eastAsia="仿宋_GB2312"/>
          <w:b w:val="0"/>
          <w:sz w:val="28"/>
          <w:szCs w:val="28"/>
        </w:rPr>
        <w:t>七、一般公共预算财政拨款支出决算明细表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_Toc49976137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"_Toc49976138" </w:instrText>
      </w:r>
      <w:r>
        <w:fldChar w:fldCharType="separate"/>
      </w:r>
      <w:r>
        <w:rPr>
          <w:rStyle w:val="33"/>
          <w:rFonts w:hint="eastAsia" w:ascii="仿宋_GB2312" w:hAnsi="仿宋" w:eastAsia="仿宋_GB2312"/>
          <w:b w:val="0"/>
          <w:sz w:val="28"/>
          <w:szCs w:val="28"/>
        </w:rPr>
        <w:t>八、一般公共预算财政拨款基本支出决算表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_Toc49976138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"_Toc49976139" </w:instrText>
      </w:r>
      <w:r>
        <w:fldChar w:fldCharType="separate"/>
      </w:r>
      <w:r>
        <w:rPr>
          <w:rStyle w:val="33"/>
          <w:rFonts w:hint="eastAsia" w:ascii="仿宋_GB2312" w:hAnsi="仿宋" w:eastAsia="仿宋_GB2312"/>
          <w:b w:val="0"/>
          <w:sz w:val="28"/>
          <w:szCs w:val="28"/>
        </w:rPr>
        <w:t>九、一般公共预算财政拨款项目支出决算表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_Toc49976139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"_Toc49976140" </w:instrText>
      </w:r>
      <w:r>
        <w:fldChar w:fldCharType="separate"/>
      </w:r>
      <w:r>
        <w:rPr>
          <w:rStyle w:val="33"/>
          <w:rFonts w:hint="eastAsia" w:ascii="仿宋_GB2312" w:hAnsi="仿宋" w:eastAsia="仿宋_GB2312"/>
          <w:b w:val="0"/>
          <w:sz w:val="28"/>
          <w:szCs w:val="28"/>
        </w:rPr>
        <w:t>十、一般公共预算财政拨款“三公”经费支出决算表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_Toc49976140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"_Toc49976141" </w:instrText>
      </w:r>
      <w:r>
        <w:fldChar w:fldCharType="separate"/>
      </w:r>
      <w:r>
        <w:rPr>
          <w:rStyle w:val="33"/>
          <w:rFonts w:hint="eastAsia" w:ascii="仿宋_GB2312" w:hAnsi="仿宋" w:eastAsia="仿宋_GB2312"/>
          <w:b w:val="0"/>
          <w:sz w:val="28"/>
          <w:szCs w:val="28"/>
        </w:rPr>
        <w:t>十一、政府性基金预算财政拨款收入支出决算表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_Toc49976141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"_Toc49976142" </w:instrText>
      </w:r>
      <w:r>
        <w:fldChar w:fldCharType="separate"/>
      </w:r>
      <w:r>
        <w:rPr>
          <w:rStyle w:val="33"/>
          <w:rFonts w:hint="eastAsia" w:ascii="仿宋_GB2312" w:hAnsi="仿宋" w:eastAsia="仿宋_GB2312"/>
          <w:b w:val="0"/>
          <w:sz w:val="28"/>
          <w:szCs w:val="28"/>
        </w:rPr>
        <w:t>十二、政府性基金预算财政拨款“三公”经费支出决算表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_Toc49976142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hAnsi="等线"/>
          <w:b w:val="0"/>
          <w:bCs w:val="0"/>
          <w:sz w:val="21"/>
        </w:rPr>
      </w:pPr>
      <w:r>
        <w:fldChar w:fldCharType="begin"/>
      </w:r>
      <w:r>
        <w:instrText xml:space="preserve"> HYPERLINK \l "_Toc49976143" </w:instrText>
      </w:r>
      <w:r>
        <w:fldChar w:fldCharType="separate"/>
      </w:r>
      <w:r>
        <w:rPr>
          <w:rStyle w:val="33"/>
          <w:rFonts w:hint="eastAsia" w:ascii="仿宋_GB2312" w:hAnsi="仿宋" w:eastAsia="仿宋_GB2312"/>
          <w:b w:val="0"/>
          <w:sz w:val="28"/>
          <w:szCs w:val="28"/>
        </w:rPr>
        <w:t>十三、国有资本经营预算支出决算表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_Toc49976143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spacing w:line="500" w:lineRule="exact"/>
        <w:ind w:firstLine="2100" w:firstLineChars="750"/>
        <w:rPr>
          <w:rFonts w:ascii="仿宋_GB2312" w:hAnsi="仿宋"/>
          <w:color w:val="FF0000"/>
          <w:szCs w:val="32"/>
        </w:rPr>
      </w:pPr>
      <w:r>
        <w:rPr>
          <w:rFonts w:ascii="等线 Light" w:eastAsia="等线 Light"/>
          <w:i/>
          <w:iCs/>
          <w:caps/>
          <w:sz w:val="28"/>
          <w:szCs w:val="28"/>
        </w:rPr>
        <w:fldChar w:fldCharType="end"/>
      </w:r>
    </w:p>
    <w:p>
      <w:pPr>
        <w:widowControl/>
        <w:spacing w:line="580" w:lineRule="exact"/>
        <w:jc w:val="center"/>
        <w:rPr>
          <w:rStyle w:val="50"/>
          <w:rFonts w:ascii="黑体" w:hAnsi="黑体" w:eastAsia="黑体"/>
          <w:b w:val="0"/>
        </w:rPr>
      </w:pPr>
      <w:bookmarkStart w:id="0" w:name="_Toc15377196"/>
      <w:bookmarkStart w:id="1" w:name="_Toc15396599"/>
      <w:r>
        <w:rPr>
          <w:rFonts w:ascii="仿宋" w:hAnsi="仿宋" w:eastAsia="仿宋"/>
          <w:b/>
          <w:sz w:val="24"/>
        </w:rPr>
        <w:br w:type="page"/>
      </w:r>
      <w:bookmarkStart w:id="2" w:name="_Toc49976112"/>
      <w:bookmarkStart w:id="3" w:name="_Toc49975925"/>
      <w:r>
        <w:rPr>
          <w:rFonts w:hint="eastAsia" w:ascii="黑体" w:hAnsi="黑体" w:eastAsia="黑体"/>
          <w:b/>
          <w:sz w:val="44"/>
          <w:szCs w:val="44"/>
        </w:rPr>
        <w:t xml:space="preserve">第一部分 </w:t>
      </w:r>
      <w:r>
        <w:rPr>
          <w:rStyle w:val="50"/>
          <w:rFonts w:hint="eastAsia" w:ascii="黑体" w:hAnsi="黑体" w:eastAsia="黑体"/>
        </w:rPr>
        <w:t>部门概况</w:t>
      </w:r>
      <w:bookmarkEnd w:id="0"/>
      <w:bookmarkEnd w:id="1"/>
      <w:bookmarkEnd w:id="2"/>
      <w:bookmarkEnd w:id="3"/>
    </w:p>
    <w:p>
      <w:pPr>
        <w:widowControl/>
        <w:jc w:val="left"/>
        <w:rPr>
          <w:rFonts w:ascii="黑体" w:eastAsia="黑体"/>
          <w:color w:val="000000"/>
          <w:szCs w:val="32"/>
        </w:rPr>
      </w:pPr>
    </w:p>
    <w:p>
      <w:pPr>
        <w:pStyle w:val="4"/>
        <w:rPr>
          <w:rStyle w:val="51"/>
          <w:rFonts w:ascii="仿宋" w:hAnsi="仿宋" w:eastAsia="仿宋"/>
          <w:b w:val="0"/>
          <w:bCs w:val="0"/>
        </w:rPr>
      </w:pPr>
      <w:bookmarkStart w:id="4" w:name="_Toc49976113"/>
      <w:bookmarkStart w:id="5" w:name="_Toc15396600"/>
      <w:bookmarkStart w:id="6" w:name="_Toc49975926"/>
      <w:bookmarkStart w:id="7" w:name="_Toc15377197"/>
      <w:r>
        <w:rPr>
          <w:rFonts w:hint="eastAsia" w:ascii="黑体" w:hAnsi="黑体" w:eastAsia="黑体"/>
          <w:b w:val="0"/>
          <w:color w:val="000000"/>
        </w:rPr>
        <w:t>一、基</w:t>
      </w:r>
      <w:r>
        <w:rPr>
          <w:rStyle w:val="51"/>
          <w:rFonts w:hint="eastAsia" w:ascii="黑体" w:hAnsi="黑体" w:eastAsia="黑体"/>
          <w:b w:val="0"/>
          <w:bCs w:val="0"/>
        </w:rPr>
        <w:t>本职能及主要工作</w:t>
      </w:r>
      <w:bookmarkEnd w:id="4"/>
      <w:bookmarkEnd w:id="5"/>
      <w:bookmarkEnd w:id="6"/>
      <w:bookmarkEnd w:id="7"/>
    </w:p>
    <w:p>
      <w:pPr>
        <w:pStyle w:val="7"/>
        <w:adjustRightInd w:val="0"/>
        <w:snapToGrid w:val="0"/>
        <w:spacing w:before="93" w:line="600" w:lineRule="exact"/>
        <w:ind w:firstLine="640" w:firstLineChars="200"/>
        <w:jc w:val="both"/>
        <w:outlineLvl w:val="2"/>
        <w:rPr>
          <w:rFonts w:ascii="仿宋" w:hAnsi="仿宋" w:eastAsia="仿宋"/>
          <w:bCs/>
          <w:color w:val="000000"/>
          <w:sz w:val="32"/>
          <w:szCs w:val="32"/>
        </w:rPr>
      </w:pPr>
      <w:bookmarkStart w:id="8" w:name="_Toc15378445"/>
      <w:bookmarkStart w:id="9" w:name="_Toc15377198"/>
      <w:r>
        <w:rPr>
          <w:rFonts w:hint="eastAsia" w:ascii="仿宋" w:hAnsi="仿宋" w:eastAsia="仿宋"/>
          <w:bCs/>
          <w:color w:val="000000"/>
          <w:sz w:val="32"/>
          <w:szCs w:val="32"/>
        </w:rPr>
        <w:t>（一）主要职能。</w:t>
      </w:r>
      <w:bookmarkEnd w:id="8"/>
      <w:bookmarkEnd w:id="9"/>
    </w:p>
    <w:p>
      <w:pPr>
        <w:pStyle w:val="7"/>
        <w:adjustRightInd w:val="0"/>
        <w:snapToGrid w:val="0"/>
        <w:spacing w:line="580" w:lineRule="exact"/>
        <w:ind w:firstLine="640" w:firstLineChars="200"/>
        <w:rPr>
          <w:rFonts w:ascii="仿宋_GB2312" w:hAnsi="仿宋" w:eastAsia="仿宋_GB2312"/>
          <w:sz w:val="32"/>
          <w:szCs w:val="32"/>
        </w:rPr>
      </w:pPr>
      <w:bookmarkStart w:id="10" w:name="_Toc15378446"/>
      <w:bookmarkStart w:id="11" w:name="_Toc15377199"/>
      <w:r>
        <w:rPr>
          <w:rFonts w:hint="eastAsia" w:ascii="仿宋_GB2312" w:hAnsi="仿宋" w:eastAsia="仿宋_GB2312"/>
          <w:sz w:val="32"/>
          <w:szCs w:val="32"/>
        </w:rPr>
        <w:t>以习近平新时代中国特色社会主义思想为指导，深入学习贯彻党的十九大、省委十一届二次全会、市委十二届五次全会精神，全面贯彻中央、省委政法工作会议精神，增强“四个意识”，坚持“四个自信”，坚持党对政法工作的绝对领导，坚持以人民为中心的发展思想，坚持稳中求进工作总基调，紧紧围绕争创新一轮全国社会治安综合治理优秀市的目标，以全面深化改革、现代科技应用为动力，扎实推进平安建设、法治建设、过硬队伍建设和智能化建设，履行好维护国家政治安全、确保社会大局稳定、促进社会公平正义、保障人民安居乐业的主要任务，不断提升新时代政法工作能力水平，为建设城乡一体繁荣幸福新自贡创造安全的政治环境、稳定的社会环境、公正的法治环境、优质的服务环境。</w:t>
      </w:r>
    </w:p>
    <w:p>
      <w:pPr>
        <w:pStyle w:val="7"/>
        <w:adjustRightInd w:val="0"/>
        <w:snapToGrid w:val="0"/>
        <w:spacing w:before="93" w:line="600" w:lineRule="exact"/>
        <w:ind w:firstLine="672" w:firstLineChars="210"/>
        <w:jc w:val="both"/>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rPr>
        <w:t>20年重点工作完成情况。</w:t>
      </w:r>
      <w:bookmarkEnd w:id="10"/>
      <w:bookmarkEnd w:id="11"/>
    </w:p>
    <w:p>
      <w:pPr>
        <w:adjustRightInd w:val="0"/>
        <w:snapToGrid w:val="0"/>
        <w:spacing w:line="560" w:lineRule="exact"/>
        <w:ind w:firstLine="640" w:firstLineChars="200"/>
        <w:rPr>
          <w:szCs w:val="32"/>
        </w:rPr>
      </w:pPr>
      <w:bookmarkStart w:id="12" w:name="_Toc15396601"/>
      <w:bookmarkStart w:id="13" w:name="_Toc15377200"/>
      <w:bookmarkStart w:id="14" w:name="_Toc49976114"/>
      <w:bookmarkStart w:id="15" w:name="_Toc49975927"/>
      <w:r>
        <w:rPr>
          <w:rFonts w:hint="eastAsia"/>
          <w:szCs w:val="32"/>
        </w:rPr>
        <w:t>2020年，全市政法战线坚持以习近平新时代中国特色社会主义思想为指导，在省委政法委的有力指导和市委的坚强领导下，认真贯彻落实中央和省委决策部署以及市委工作要求，深入贯彻落实《政法工作条例》和省委实施细则，战疫情、保安全、护稳定，抓市域社会治理现代化试点开局，抓扫黑除恶专项斗争收官，为夺取疫情防控和经济社会发展双胜利提供坚强政法保障。</w:t>
      </w:r>
    </w:p>
    <w:p>
      <w:pPr>
        <w:adjustRightInd w:val="0"/>
        <w:snapToGrid w:val="0"/>
        <w:spacing w:line="560" w:lineRule="exact"/>
        <w:ind w:firstLine="640" w:firstLineChars="200"/>
        <w:rPr>
          <w:szCs w:val="32"/>
        </w:rPr>
      </w:pPr>
      <w:r>
        <w:rPr>
          <w:rFonts w:hint="eastAsia"/>
          <w:szCs w:val="32"/>
        </w:rPr>
        <w:t>组织开展影响社会稳定矛盾问题摸排调研，做好了安全维稳工作。成功列入第一批全国市域社会治理现代试点城市，创造性打通心理服务“智悦盐都”系统与社会治理“智治盐都”系统，“智治盐都”联网应用平台荣获“2020首届数字四川创新大赛”政务大数据十佳案例，自贡市获评2018—2019年度全国平安医院工作表现突出地区并被国家卫健委等10部委联合通报表扬。深入推进刑事审判庭审实质化、民事庭审优质化、行政庭审简易审和优化审改革，促进各类争议实质性化解。贯彻落实“川渝政法合作”精神，签订政法合作协议，为融入成渝地区双城经济圈建设及内自同城化发展提供法治服务和保障。建立政法干警违纪违法案件信息及时报告制度，切实加强党风廉政建设和反腐败工作。</w:t>
      </w:r>
    </w:p>
    <w:p>
      <w:pPr>
        <w:pStyle w:val="4"/>
        <w:rPr>
          <w:rStyle w:val="51"/>
          <w:b w:val="0"/>
          <w:bCs w:val="0"/>
        </w:rPr>
      </w:pPr>
      <w:r>
        <w:rPr>
          <w:rFonts w:hint="eastAsia" w:ascii="黑体" w:eastAsia="黑体"/>
          <w:b w:val="0"/>
          <w:color w:val="000000"/>
        </w:rPr>
        <w:t>二、</w:t>
      </w:r>
      <w:r>
        <w:rPr>
          <w:rFonts w:hint="eastAsia" w:ascii="黑体" w:hAnsi="黑体" w:eastAsia="黑体"/>
          <w:b w:val="0"/>
          <w:color w:val="000000"/>
        </w:rPr>
        <w:t>机</w:t>
      </w:r>
      <w:r>
        <w:rPr>
          <w:rStyle w:val="51"/>
          <w:rFonts w:hint="eastAsia" w:ascii="黑体" w:hAnsi="黑体" w:eastAsia="黑体"/>
          <w:b w:val="0"/>
          <w:bCs w:val="0"/>
        </w:rPr>
        <w:t>构设置</w:t>
      </w:r>
      <w:bookmarkEnd w:id="12"/>
      <w:bookmarkEnd w:id="13"/>
      <w:bookmarkEnd w:id="14"/>
      <w:bookmarkEnd w:id="15"/>
    </w:p>
    <w:p>
      <w:pPr>
        <w:ind w:firstLine="800" w:firstLineChars="250"/>
        <w:rPr>
          <w:rFonts w:ascii="仿宋" w:hAnsi="仿宋" w:eastAsia="仿宋"/>
          <w:szCs w:val="32"/>
        </w:rPr>
      </w:pPr>
      <w:r>
        <w:rPr>
          <w:rFonts w:hint="eastAsia" w:ascii="仿宋" w:hAnsi="仿宋" w:eastAsia="仿宋"/>
          <w:szCs w:val="32"/>
        </w:rPr>
        <w:t>中共市委政法委员会下属二级单位1个，其中行政单位0个，参照公务员法管理的事业单位</w:t>
      </w:r>
      <w:r>
        <w:rPr>
          <w:rFonts w:hint="eastAsia" w:ascii="仿宋" w:hAnsi="仿宋" w:eastAsia="仿宋"/>
          <w:bCs/>
          <w:szCs w:val="32"/>
        </w:rPr>
        <w:t>0</w:t>
      </w:r>
      <w:r>
        <w:rPr>
          <w:rFonts w:hint="eastAsia" w:ascii="仿宋" w:hAnsi="仿宋" w:eastAsia="仿宋"/>
          <w:szCs w:val="32"/>
        </w:rPr>
        <w:t>个，其他事业单位1个。</w:t>
      </w:r>
    </w:p>
    <w:p>
      <w:pPr>
        <w:pStyle w:val="7"/>
        <w:adjustRightInd w:val="0"/>
        <w:snapToGrid w:val="0"/>
        <w:spacing w:before="93" w:line="600" w:lineRule="exact"/>
        <w:ind w:firstLine="672" w:firstLineChars="210"/>
        <w:jc w:val="left"/>
        <w:rPr>
          <w:rFonts w:ascii="仿宋" w:hAnsi="仿宋" w:eastAsia="仿宋"/>
          <w:color w:val="000000"/>
          <w:sz w:val="32"/>
          <w:szCs w:val="32"/>
        </w:rPr>
      </w:pPr>
      <w:r>
        <w:rPr>
          <w:rFonts w:hint="eastAsia" w:ascii="仿宋" w:hAnsi="仿宋" w:eastAsia="仿宋"/>
          <w:color w:val="000000"/>
          <w:sz w:val="32"/>
          <w:szCs w:val="32"/>
        </w:rPr>
        <w:t>纳入中共市委政法委员会2020年度部门决算编制范围的二级预算单位包括：自贡市法学会。</w:t>
      </w:r>
    </w:p>
    <w:p>
      <w:pPr>
        <w:widowControl/>
        <w:jc w:val="center"/>
        <w:rPr>
          <w:rStyle w:val="50"/>
          <w:rFonts w:ascii="黑体" w:hAnsi="黑体" w:eastAsia="黑体"/>
        </w:rPr>
      </w:pPr>
      <w:r>
        <w:rPr>
          <w:rFonts w:ascii="仿宋" w:hAnsi="仿宋" w:eastAsia="仿宋"/>
          <w:color w:val="000000"/>
          <w:szCs w:val="32"/>
        </w:rPr>
        <w:br w:type="page"/>
      </w:r>
      <w:bookmarkStart w:id="16" w:name="_Toc49975928"/>
      <w:bookmarkStart w:id="17" w:name="_Toc49976115"/>
      <w:bookmarkStart w:id="18" w:name="_Toc15396602"/>
      <w:bookmarkStart w:id="19" w:name="_Toc15377204"/>
      <w:r>
        <w:rPr>
          <w:rFonts w:hint="eastAsia" w:ascii="黑体" w:hAnsi="黑体" w:eastAsia="黑体"/>
          <w:b/>
          <w:color w:val="000000"/>
          <w:sz w:val="44"/>
          <w:szCs w:val="44"/>
        </w:rPr>
        <w:t>第二部分</w:t>
      </w:r>
      <w:r>
        <w:rPr>
          <w:rFonts w:hint="eastAsia" w:ascii="黑体" w:hAnsi="黑体" w:eastAsia="黑体"/>
          <w:color w:val="000000"/>
          <w:sz w:val="44"/>
          <w:szCs w:val="44"/>
        </w:rPr>
        <w:t xml:space="preserve"> </w:t>
      </w:r>
      <w:r>
        <w:rPr>
          <w:rStyle w:val="50"/>
          <w:rFonts w:hint="eastAsia" w:ascii="黑体" w:hAnsi="黑体" w:eastAsia="黑体"/>
        </w:rPr>
        <w:t>2020年度部门决算情况说明</w:t>
      </w:r>
      <w:bookmarkEnd w:id="16"/>
      <w:bookmarkEnd w:id="17"/>
      <w:bookmarkEnd w:id="18"/>
      <w:bookmarkEnd w:id="19"/>
    </w:p>
    <w:p/>
    <w:p>
      <w:pPr>
        <w:pStyle w:val="56"/>
        <w:numPr>
          <w:ilvl w:val="0"/>
          <w:numId w:val="1"/>
        </w:numPr>
        <w:spacing w:line="560" w:lineRule="exact"/>
        <w:ind w:firstLineChars="0"/>
        <w:outlineLvl w:val="1"/>
        <w:rPr>
          <w:rStyle w:val="51"/>
          <w:rFonts w:ascii="黑体" w:hAnsi="黑体" w:eastAsia="黑体"/>
          <w:b w:val="0"/>
        </w:rPr>
      </w:pPr>
      <w:bookmarkStart w:id="20" w:name="_Toc15396603"/>
      <w:bookmarkStart w:id="21" w:name="_Toc49976116"/>
      <w:bookmarkStart w:id="22" w:name="_Toc15377205"/>
      <w:bookmarkStart w:id="23" w:name="_Toc49975929"/>
      <w:r>
        <w:rPr>
          <w:rStyle w:val="51"/>
          <w:rFonts w:hint="eastAsia" w:ascii="黑体" w:hAnsi="黑体" w:eastAsia="黑体"/>
        </w:rPr>
        <w:t>收入支出决算总体情况说明</w:t>
      </w:r>
      <w:bookmarkEnd w:id="20"/>
      <w:bookmarkEnd w:id="21"/>
      <w:bookmarkEnd w:id="22"/>
      <w:bookmarkEnd w:id="23"/>
    </w:p>
    <w:p>
      <w:pPr>
        <w:spacing w:line="560" w:lineRule="exact"/>
        <w:ind w:firstLine="640" w:firstLineChars="200"/>
        <w:rPr>
          <w:rFonts w:ascii="仿宋" w:hAnsi="仿宋"/>
          <w:color w:val="000000"/>
          <w:szCs w:val="32"/>
        </w:rPr>
      </w:pPr>
      <w:r>
        <w:rPr>
          <w:rFonts w:ascii="仿宋" w:hAnsi="仿宋" w:eastAsia="仿宋"/>
          <w:color w:val="000000"/>
          <w:szCs w:val="32"/>
        </w:rPr>
        <w:drawing>
          <wp:anchor distT="0" distB="0" distL="114300" distR="114300" simplePos="0" relativeHeight="251659264" behindDoc="0" locked="0" layoutInCell="1" allowOverlap="1">
            <wp:simplePos x="0" y="0"/>
            <wp:positionH relativeFrom="column">
              <wp:posOffset>1061720</wp:posOffset>
            </wp:positionH>
            <wp:positionV relativeFrom="paragraph">
              <wp:posOffset>1125855</wp:posOffset>
            </wp:positionV>
            <wp:extent cx="3136265" cy="1887220"/>
            <wp:effectExtent l="0" t="0" r="6985"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36265" cy="1887220"/>
                    </a:xfrm>
                    <a:prstGeom prst="rect">
                      <a:avLst/>
                    </a:prstGeom>
                    <a:noFill/>
                    <a:ln>
                      <a:noFill/>
                    </a:ln>
                  </pic:spPr>
                </pic:pic>
              </a:graphicData>
            </a:graphic>
          </wp:anchor>
        </w:drawing>
      </w:r>
      <w:r>
        <w:rPr>
          <w:rFonts w:hint="eastAsia" w:ascii="仿宋" w:hAnsi="仿宋" w:eastAsia="仿宋"/>
          <w:color w:val="000000"/>
          <w:szCs w:val="32"/>
        </w:rPr>
        <w:t>2020年度收、支总计</w:t>
      </w:r>
      <w:r>
        <w:rPr>
          <w:rFonts w:hint="eastAsia" w:ascii="仿宋" w:hAnsi="仿宋" w:eastAsia="仿宋"/>
          <w:color w:val="000000"/>
          <w:szCs w:val="32"/>
          <w:lang w:val="en-US" w:eastAsia="zh-CN"/>
        </w:rPr>
        <w:t>1419.56</w:t>
      </w:r>
      <w:r>
        <w:rPr>
          <w:rFonts w:hint="eastAsia" w:ascii="仿宋" w:hAnsi="仿宋" w:eastAsia="仿宋"/>
          <w:color w:val="000000"/>
          <w:szCs w:val="32"/>
        </w:rPr>
        <w:t>万元。与2019年相比，收、支总计各</w:t>
      </w:r>
      <w:r>
        <w:rPr>
          <w:rFonts w:hint="eastAsia" w:ascii="仿宋" w:hAnsi="仿宋" w:eastAsia="仿宋"/>
          <w:szCs w:val="32"/>
        </w:rPr>
        <w:t>增加343.85</w:t>
      </w:r>
      <w:r>
        <w:rPr>
          <w:rFonts w:hint="eastAsia" w:ascii="仿宋" w:hAnsi="仿宋" w:eastAsia="仿宋"/>
          <w:color w:val="000000"/>
          <w:szCs w:val="32"/>
        </w:rPr>
        <w:t>万元，增长29.3%。主要变动原因是</w:t>
      </w:r>
      <w:r>
        <w:rPr>
          <w:rFonts w:hint="eastAsia" w:ascii="仿宋_GB2312" w:hAnsi="仿宋"/>
          <w:szCs w:val="32"/>
        </w:rPr>
        <w:t>年中有新增地方财政配套资金。</w:t>
      </w:r>
    </w:p>
    <w:p>
      <w:pPr>
        <w:pStyle w:val="56"/>
        <w:numPr>
          <w:ilvl w:val="0"/>
          <w:numId w:val="1"/>
        </w:numPr>
        <w:spacing w:line="560" w:lineRule="exact"/>
        <w:ind w:firstLineChars="0"/>
        <w:outlineLvl w:val="1"/>
        <w:rPr>
          <w:rStyle w:val="51"/>
          <w:rFonts w:ascii="黑体" w:hAnsi="黑体" w:eastAsia="黑体"/>
          <w:b w:val="0"/>
        </w:rPr>
      </w:pPr>
      <w:bookmarkStart w:id="24" w:name="_Toc49976117"/>
      <w:bookmarkStart w:id="25" w:name="_Toc49975930"/>
      <w:bookmarkStart w:id="26" w:name="_Toc15396604"/>
      <w:bookmarkStart w:id="27" w:name="_Toc15377206"/>
      <w:r>
        <w:rPr>
          <w:rFonts w:hint="eastAsia" w:ascii="黑体" w:hAnsi="黑体" w:eastAsia="黑体"/>
          <w:color w:val="000000"/>
          <w:sz w:val="32"/>
          <w:szCs w:val="32"/>
        </w:rPr>
        <w:t>收</w:t>
      </w:r>
      <w:r>
        <w:rPr>
          <w:rStyle w:val="51"/>
          <w:rFonts w:hint="eastAsia" w:ascii="黑体" w:hAnsi="黑体" w:eastAsia="黑体"/>
        </w:rPr>
        <w:t>入决算情况说明</w:t>
      </w:r>
      <w:bookmarkEnd w:id="24"/>
      <w:bookmarkEnd w:id="25"/>
      <w:bookmarkEnd w:id="26"/>
      <w:bookmarkEnd w:id="27"/>
    </w:p>
    <w:p>
      <w:pPr>
        <w:spacing w:line="560" w:lineRule="exact"/>
        <w:ind w:firstLine="640" w:firstLineChars="200"/>
        <w:rPr>
          <w:rFonts w:ascii="仿宋" w:hAnsi="仿宋" w:eastAsia="仿宋"/>
          <w:color w:val="000000"/>
          <w:szCs w:val="32"/>
        </w:rPr>
      </w:pPr>
      <w:r>
        <w:rPr>
          <w:rFonts w:ascii="仿宋" w:hAnsi="仿宋" w:eastAsia="仿宋"/>
          <w:color w:val="000000"/>
          <w:szCs w:val="32"/>
        </w:rPr>
        <w:drawing>
          <wp:anchor distT="0" distB="0" distL="114300" distR="114300" simplePos="0" relativeHeight="251662336" behindDoc="0" locked="0" layoutInCell="1" allowOverlap="1">
            <wp:simplePos x="0" y="0"/>
            <wp:positionH relativeFrom="column">
              <wp:posOffset>944245</wp:posOffset>
            </wp:positionH>
            <wp:positionV relativeFrom="paragraph">
              <wp:posOffset>2188845</wp:posOffset>
            </wp:positionV>
            <wp:extent cx="3380105" cy="2030730"/>
            <wp:effectExtent l="0" t="0" r="0" b="762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80105" cy="2030730"/>
                    </a:xfrm>
                    <a:prstGeom prst="rect">
                      <a:avLst/>
                    </a:prstGeom>
                    <a:noFill/>
                    <a:ln>
                      <a:noFill/>
                    </a:ln>
                  </pic:spPr>
                </pic:pic>
              </a:graphicData>
            </a:graphic>
          </wp:anchor>
        </w:drawing>
      </w:r>
      <w:r>
        <w:rPr>
          <w:rFonts w:ascii="仿宋" w:hAnsi="仿宋" w:eastAsia="仿宋"/>
          <w:color w:val="000000"/>
          <w:szCs w:val="32"/>
        </w:rPr>
        <w:t>20</w:t>
      </w:r>
      <w:r>
        <w:rPr>
          <w:rFonts w:hint="eastAsia" w:ascii="仿宋" w:hAnsi="仿宋" w:eastAsia="仿宋"/>
          <w:color w:val="000000"/>
          <w:szCs w:val="32"/>
        </w:rPr>
        <w:t>20年本年收入合计</w:t>
      </w:r>
      <w:r>
        <w:rPr>
          <w:rFonts w:hint="eastAsia" w:ascii="仿宋" w:hAnsi="仿宋" w:eastAsia="仿宋"/>
          <w:color w:val="000000"/>
          <w:szCs w:val="32"/>
          <w:lang w:val="en-US" w:eastAsia="zh-CN"/>
        </w:rPr>
        <w:t>1419.56</w:t>
      </w:r>
      <w:r>
        <w:rPr>
          <w:rFonts w:hint="eastAsia" w:ascii="仿宋" w:hAnsi="仿宋" w:eastAsia="仿宋"/>
          <w:color w:val="000000"/>
          <w:szCs w:val="32"/>
        </w:rPr>
        <w:t>万元，其中：一般公共预算财政拨款收入</w:t>
      </w:r>
      <w:r>
        <w:rPr>
          <w:rFonts w:hint="eastAsia" w:ascii="仿宋" w:hAnsi="仿宋" w:eastAsia="仿宋"/>
          <w:color w:val="000000"/>
          <w:szCs w:val="32"/>
          <w:lang w:val="en-US" w:eastAsia="zh-CN"/>
        </w:rPr>
        <w:t>1384.29</w:t>
      </w:r>
      <w:r>
        <w:rPr>
          <w:rFonts w:hint="eastAsia" w:ascii="仿宋" w:hAnsi="仿宋" w:eastAsia="仿宋"/>
          <w:color w:val="000000"/>
          <w:szCs w:val="32"/>
        </w:rPr>
        <w:t>万元，</w:t>
      </w:r>
      <w:r>
        <w:rPr>
          <w:rFonts w:hint="eastAsia" w:ascii="仿宋" w:hAnsi="仿宋" w:eastAsia="仿宋"/>
          <w:color w:val="000000"/>
          <w:szCs w:val="32"/>
          <w:lang w:val="en-US" w:eastAsia="zh-CN"/>
        </w:rPr>
        <w:t>97.53</w:t>
      </w:r>
      <w:r>
        <w:rPr>
          <w:rFonts w:hint="eastAsia" w:ascii="仿宋" w:hAnsi="仿宋" w:eastAsia="仿宋"/>
          <w:color w:val="000000"/>
          <w:szCs w:val="32"/>
        </w:rPr>
        <w:t>占</w:t>
      </w:r>
      <w:r>
        <w:rPr>
          <w:rFonts w:ascii="仿宋" w:hAnsi="仿宋" w:eastAsia="仿宋"/>
          <w:color w:val="000000"/>
          <w:szCs w:val="32"/>
        </w:rPr>
        <w:t>%</w:t>
      </w:r>
      <w:r>
        <w:rPr>
          <w:rFonts w:hint="eastAsia" w:ascii="仿宋" w:hAnsi="仿宋" w:eastAsia="仿宋"/>
          <w:color w:val="000000"/>
          <w:szCs w:val="32"/>
        </w:rPr>
        <w:t>；年初财政拨款结转和结余</w:t>
      </w:r>
      <w:r>
        <w:rPr>
          <w:rFonts w:hint="eastAsia" w:ascii="仿宋" w:hAnsi="仿宋" w:eastAsia="仿宋"/>
          <w:color w:val="000000"/>
          <w:szCs w:val="32"/>
          <w:lang w:val="en-US" w:eastAsia="zh-CN"/>
        </w:rPr>
        <w:t>35.27</w:t>
      </w:r>
      <w:r>
        <w:rPr>
          <w:rFonts w:hint="eastAsia" w:ascii="仿宋" w:hAnsi="仿宋" w:eastAsia="仿宋"/>
          <w:color w:val="000000"/>
          <w:szCs w:val="32"/>
        </w:rPr>
        <w:t>万元，</w:t>
      </w:r>
      <w:r>
        <w:rPr>
          <w:rFonts w:hint="eastAsia" w:ascii="仿宋" w:hAnsi="仿宋" w:eastAsia="仿宋"/>
          <w:color w:val="000000"/>
          <w:szCs w:val="32"/>
          <w:lang w:val="en-US" w:eastAsia="zh-CN"/>
        </w:rPr>
        <w:t>2.5</w:t>
      </w:r>
      <w:r>
        <w:rPr>
          <w:rFonts w:hint="eastAsia" w:ascii="仿宋" w:hAnsi="仿宋" w:eastAsia="仿宋"/>
          <w:color w:val="000000"/>
          <w:szCs w:val="32"/>
        </w:rPr>
        <w:t>占%；政府性基金预算财政拨款收入0万元，占0.00</w:t>
      </w:r>
      <w:r>
        <w:rPr>
          <w:rFonts w:ascii="仿宋" w:hAnsi="仿宋" w:eastAsia="仿宋"/>
          <w:color w:val="000000"/>
          <w:szCs w:val="32"/>
        </w:rPr>
        <w:t>%</w:t>
      </w:r>
      <w:r>
        <w:rPr>
          <w:rFonts w:hint="eastAsia" w:ascii="仿宋" w:hAnsi="仿宋" w:eastAsia="仿宋"/>
          <w:color w:val="000000"/>
          <w:szCs w:val="32"/>
        </w:rPr>
        <w:t>；上级补助收入0万元，占0.00</w:t>
      </w:r>
      <w:r>
        <w:rPr>
          <w:rFonts w:ascii="仿宋" w:hAnsi="仿宋" w:eastAsia="仿宋"/>
          <w:color w:val="000000"/>
          <w:szCs w:val="32"/>
        </w:rPr>
        <w:t>%</w:t>
      </w:r>
      <w:r>
        <w:rPr>
          <w:rFonts w:hint="eastAsia" w:ascii="仿宋" w:hAnsi="仿宋" w:eastAsia="仿宋"/>
          <w:color w:val="000000"/>
          <w:szCs w:val="32"/>
        </w:rPr>
        <w:t>；事业收入0万元，占0.00</w:t>
      </w:r>
      <w:r>
        <w:rPr>
          <w:rFonts w:ascii="仿宋" w:hAnsi="仿宋" w:eastAsia="仿宋"/>
          <w:color w:val="000000"/>
          <w:szCs w:val="32"/>
        </w:rPr>
        <w:t>%</w:t>
      </w:r>
      <w:r>
        <w:rPr>
          <w:rFonts w:hint="eastAsia" w:ascii="仿宋" w:hAnsi="仿宋" w:eastAsia="仿宋"/>
          <w:color w:val="000000"/>
          <w:szCs w:val="32"/>
        </w:rPr>
        <w:t>；经营收入0万元，占0.00</w:t>
      </w:r>
      <w:r>
        <w:rPr>
          <w:rFonts w:ascii="仿宋" w:hAnsi="仿宋" w:eastAsia="仿宋"/>
          <w:color w:val="000000"/>
          <w:szCs w:val="32"/>
        </w:rPr>
        <w:t>%</w:t>
      </w:r>
      <w:r>
        <w:rPr>
          <w:rFonts w:hint="eastAsia" w:ascii="仿宋" w:hAnsi="仿宋" w:eastAsia="仿宋"/>
          <w:color w:val="000000"/>
          <w:szCs w:val="32"/>
        </w:rPr>
        <w:t>；附属单位上缴收入0万元，占0.00</w:t>
      </w:r>
      <w:r>
        <w:rPr>
          <w:rFonts w:ascii="仿宋" w:hAnsi="仿宋" w:eastAsia="仿宋"/>
          <w:color w:val="000000"/>
          <w:szCs w:val="32"/>
        </w:rPr>
        <w:t>%</w:t>
      </w:r>
      <w:r>
        <w:rPr>
          <w:rFonts w:hint="eastAsia" w:ascii="仿宋" w:hAnsi="仿宋" w:eastAsia="仿宋"/>
          <w:color w:val="000000"/>
          <w:szCs w:val="32"/>
        </w:rPr>
        <w:t>；其他收入0万元，占0.00</w:t>
      </w:r>
      <w:r>
        <w:rPr>
          <w:rFonts w:ascii="仿宋" w:hAnsi="仿宋" w:eastAsia="仿宋"/>
          <w:color w:val="000000"/>
          <w:szCs w:val="32"/>
        </w:rPr>
        <w:t>%</w:t>
      </w:r>
      <w:r>
        <w:rPr>
          <w:rFonts w:hint="eastAsia" w:ascii="仿宋" w:hAnsi="仿宋" w:eastAsia="仿宋"/>
          <w:color w:val="000000"/>
          <w:szCs w:val="32"/>
        </w:rPr>
        <w:t>。</w:t>
      </w:r>
    </w:p>
    <w:p>
      <w:pPr>
        <w:pStyle w:val="56"/>
        <w:numPr>
          <w:ilvl w:val="0"/>
          <w:numId w:val="1"/>
        </w:numPr>
        <w:spacing w:line="560" w:lineRule="exact"/>
        <w:ind w:firstLineChars="0"/>
        <w:outlineLvl w:val="1"/>
        <w:rPr>
          <w:rStyle w:val="51"/>
          <w:rFonts w:ascii="黑体" w:hAnsi="黑体" w:eastAsia="黑体"/>
          <w:b w:val="0"/>
        </w:rPr>
      </w:pPr>
      <w:bookmarkStart w:id="28" w:name="_Toc15377207"/>
      <w:bookmarkStart w:id="29" w:name="_Toc49975931"/>
      <w:bookmarkStart w:id="30" w:name="_Toc15396605"/>
      <w:bookmarkStart w:id="31" w:name="_Toc49976118"/>
      <w:r>
        <w:rPr>
          <w:rStyle w:val="51"/>
          <w:rFonts w:hint="eastAsia" w:ascii="黑体" w:hAnsi="黑体" w:eastAsia="黑体"/>
        </w:rPr>
        <w:t>支出决算情况说明</w:t>
      </w:r>
      <w:bookmarkEnd w:id="28"/>
      <w:bookmarkEnd w:id="29"/>
      <w:bookmarkEnd w:id="30"/>
      <w:bookmarkEnd w:id="31"/>
    </w:p>
    <w:p>
      <w:pPr>
        <w:spacing w:line="600" w:lineRule="exact"/>
        <w:ind w:firstLine="640"/>
        <w:rPr>
          <w:rFonts w:ascii="仿宋" w:hAnsi="仿宋" w:eastAsia="仿宋"/>
          <w:color w:val="000000"/>
          <w:szCs w:val="32"/>
        </w:rPr>
      </w:pPr>
      <w:r>
        <w:rPr>
          <w:rFonts w:ascii="仿宋_GB2312" w:hAnsi="仿宋"/>
          <w:color w:val="000000"/>
          <w:szCs w:val="32"/>
        </w:rPr>
        <w:drawing>
          <wp:anchor distT="0" distB="0" distL="114300" distR="114300" simplePos="0" relativeHeight="251663360" behindDoc="0" locked="0" layoutInCell="1" allowOverlap="1">
            <wp:simplePos x="0" y="0"/>
            <wp:positionH relativeFrom="column">
              <wp:posOffset>1211580</wp:posOffset>
            </wp:positionH>
            <wp:positionV relativeFrom="paragraph">
              <wp:posOffset>1969770</wp:posOffset>
            </wp:positionV>
            <wp:extent cx="2983865" cy="1793875"/>
            <wp:effectExtent l="0" t="0" r="6985" b="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83865" cy="1793875"/>
                    </a:xfrm>
                    <a:prstGeom prst="rect">
                      <a:avLst/>
                    </a:prstGeom>
                    <a:noFill/>
                    <a:ln>
                      <a:noFill/>
                    </a:ln>
                  </pic:spPr>
                </pic:pic>
              </a:graphicData>
            </a:graphic>
          </wp:anchor>
        </w:drawing>
      </w:r>
      <w:r>
        <w:rPr>
          <w:rFonts w:ascii="仿宋" w:hAnsi="仿宋" w:eastAsia="仿宋"/>
          <w:color w:val="000000"/>
          <w:szCs w:val="32"/>
        </w:rPr>
        <w:t>20</w:t>
      </w:r>
      <w:r>
        <w:rPr>
          <w:rFonts w:hint="eastAsia" w:ascii="仿宋" w:hAnsi="仿宋" w:eastAsia="仿宋"/>
          <w:color w:val="000000"/>
          <w:szCs w:val="32"/>
        </w:rPr>
        <w:t>20年本年支出合计</w:t>
      </w:r>
      <w:r>
        <w:rPr>
          <w:rFonts w:hint="eastAsia" w:ascii="仿宋" w:hAnsi="仿宋" w:eastAsia="仿宋"/>
          <w:color w:val="000000"/>
          <w:szCs w:val="32"/>
          <w:lang w:val="en-US" w:eastAsia="zh-CN"/>
        </w:rPr>
        <w:t>1419.56</w:t>
      </w:r>
      <w:r>
        <w:rPr>
          <w:rFonts w:hint="eastAsia" w:ascii="仿宋" w:hAnsi="仿宋" w:eastAsia="仿宋"/>
          <w:color w:val="000000"/>
          <w:szCs w:val="32"/>
        </w:rPr>
        <w:t>万元，其中：</w:t>
      </w:r>
      <w:r>
        <w:rPr>
          <w:rFonts w:hint="eastAsia" w:ascii="仿宋_GB2312" w:hAnsi="仿宋"/>
          <w:color w:val="000000"/>
          <w:szCs w:val="32"/>
        </w:rPr>
        <w:t>基本支出</w:t>
      </w:r>
      <w:r>
        <w:rPr>
          <w:rFonts w:hint="eastAsia" w:ascii="仿宋_GB2312" w:hAnsi="仿宋"/>
          <w:color w:val="000000"/>
          <w:szCs w:val="32"/>
          <w:lang w:val="en-US" w:eastAsia="zh-CN"/>
        </w:rPr>
        <w:t>691.15</w:t>
      </w:r>
      <w:r>
        <w:rPr>
          <w:rFonts w:hint="eastAsia" w:ascii="仿宋_GB2312" w:hAnsi="仿宋"/>
          <w:color w:val="000000"/>
          <w:szCs w:val="32"/>
        </w:rPr>
        <w:t>万元，占</w:t>
      </w:r>
      <w:r>
        <w:rPr>
          <w:rFonts w:hint="eastAsia" w:ascii="仿宋_GB2312" w:hAnsi="仿宋"/>
          <w:color w:val="000000"/>
          <w:szCs w:val="32"/>
          <w:lang w:val="en-US" w:eastAsia="zh-CN"/>
        </w:rPr>
        <w:t>48.69</w:t>
      </w:r>
      <w:r>
        <w:rPr>
          <w:rFonts w:ascii="仿宋_GB2312" w:hAnsi="仿宋"/>
          <w:color w:val="000000"/>
          <w:szCs w:val="32"/>
        </w:rPr>
        <w:t>%</w:t>
      </w:r>
      <w:r>
        <w:rPr>
          <w:rFonts w:hint="eastAsia" w:ascii="仿宋_GB2312" w:hAnsi="仿宋"/>
          <w:color w:val="000000"/>
          <w:szCs w:val="32"/>
        </w:rPr>
        <w:t>；项目支出6</w:t>
      </w:r>
      <w:r>
        <w:rPr>
          <w:rFonts w:hint="eastAsia" w:ascii="仿宋_GB2312" w:hAnsi="仿宋"/>
          <w:color w:val="000000"/>
          <w:szCs w:val="32"/>
          <w:lang w:val="en-US" w:eastAsia="zh-CN"/>
        </w:rPr>
        <w:t>73.41</w:t>
      </w:r>
      <w:r>
        <w:rPr>
          <w:rFonts w:hint="eastAsia" w:ascii="仿宋_GB2312" w:hAnsi="仿宋"/>
          <w:color w:val="000000"/>
          <w:szCs w:val="32"/>
        </w:rPr>
        <w:t>万元，占4</w:t>
      </w:r>
      <w:r>
        <w:rPr>
          <w:rFonts w:hint="eastAsia" w:ascii="仿宋_GB2312" w:hAnsi="仿宋"/>
          <w:color w:val="000000"/>
          <w:szCs w:val="32"/>
          <w:lang w:val="en-US" w:eastAsia="zh-CN"/>
        </w:rPr>
        <w:t>7.44</w:t>
      </w:r>
      <w:r>
        <w:rPr>
          <w:rFonts w:ascii="仿宋_GB2312" w:hAnsi="仿宋"/>
          <w:color w:val="000000"/>
          <w:szCs w:val="32"/>
        </w:rPr>
        <w:t>%</w:t>
      </w:r>
      <w:r>
        <w:rPr>
          <w:rFonts w:hint="eastAsia" w:ascii="仿宋" w:hAnsi="仿宋" w:eastAsia="仿宋"/>
          <w:color w:val="000000"/>
          <w:szCs w:val="32"/>
        </w:rPr>
        <w:t>；年末结转和结余</w:t>
      </w:r>
      <w:r>
        <w:rPr>
          <w:rFonts w:hint="eastAsia" w:ascii="仿宋_GB2312" w:hAnsi="仿宋" w:eastAsia="仿宋"/>
          <w:color w:val="000000"/>
          <w:szCs w:val="32"/>
        </w:rPr>
        <w:t>55</w:t>
      </w:r>
      <w:r>
        <w:rPr>
          <w:rFonts w:hint="eastAsia" w:ascii="仿宋" w:hAnsi="仿宋" w:eastAsia="仿宋"/>
          <w:color w:val="000000"/>
          <w:szCs w:val="32"/>
        </w:rPr>
        <w:t>万元，占</w:t>
      </w:r>
      <w:r>
        <w:rPr>
          <w:rFonts w:hint="eastAsia" w:ascii="仿宋_GB2312" w:hAnsi="仿宋"/>
          <w:color w:val="000000"/>
          <w:szCs w:val="32"/>
        </w:rPr>
        <w:t>3.</w:t>
      </w:r>
      <w:r>
        <w:rPr>
          <w:rFonts w:hint="eastAsia" w:ascii="仿宋_GB2312" w:hAnsi="仿宋"/>
          <w:color w:val="000000"/>
          <w:szCs w:val="32"/>
          <w:lang w:val="en-US" w:eastAsia="zh-CN"/>
        </w:rPr>
        <w:t>88</w:t>
      </w:r>
      <w:r>
        <w:rPr>
          <w:rFonts w:hint="eastAsia" w:ascii="仿宋_GB2312" w:hAnsi="仿宋"/>
          <w:color w:val="000000"/>
          <w:szCs w:val="32"/>
        </w:rPr>
        <w:t>%</w:t>
      </w:r>
      <w:r>
        <w:rPr>
          <w:rFonts w:hint="eastAsia" w:ascii="仿宋" w:hAnsi="仿宋" w:eastAsia="仿宋"/>
          <w:color w:val="000000"/>
          <w:szCs w:val="32"/>
        </w:rPr>
        <w:t>；上缴上级支出0万元，占0.00</w:t>
      </w:r>
      <w:r>
        <w:rPr>
          <w:rFonts w:ascii="仿宋" w:hAnsi="仿宋" w:eastAsia="仿宋"/>
          <w:color w:val="000000"/>
          <w:szCs w:val="32"/>
        </w:rPr>
        <w:t>%</w:t>
      </w:r>
      <w:r>
        <w:rPr>
          <w:rFonts w:hint="eastAsia" w:ascii="仿宋" w:hAnsi="仿宋" w:eastAsia="仿宋"/>
          <w:color w:val="000000"/>
          <w:szCs w:val="32"/>
        </w:rPr>
        <w:t>；经营支出0万元，占0.00</w:t>
      </w:r>
      <w:r>
        <w:rPr>
          <w:rFonts w:ascii="仿宋" w:hAnsi="仿宋" w:eastAsia="仿宋"/>
          <w:color w:val="000000"/>
          <w:szCs w:val="32"/>
        </w:rPr>
        <w:t>%</w:t>
      </w:r>
      <w:r>
        <w:rPr>
          <w:rFonts w:hint="eastAsia" w:ascii="仿宋" w:hAnsi="仿宋" w:eastAsia="仿宋"/>
          <w:color w:val="000000"/>
          <w:szCs w:val="32"/>
        </w:rPr>
        <w:t>；对附属单位补助支出0万元，占0.00</w:t>
      </w:r>
      <w:r>
        <w:rPr>
          <w:rFonts w:ascii="仿宋" w:hAnsi="仿宋" w:eastAsia="仿宋"/>
          <w:color w:val="000000"/>
          <w:szCs w:val="32"/>
        </w:rPr>
        <w:t>%</w:t>
      </w:r>
      <w:r>
        <w:rPr>
          <w:rFonts w:hint="eastAsia" w:ascii="仿宋" w:hAnsi="仿宋" w:eastAsia="仿宋"/>
          <w:color w:val="000000"/>
          <w:szCs w:val="32"/>
        </w:rPr>
        <w:t>。</w:t>
      </w:r>
    </w:p>
    <w:p>
      <w:pPr>
        <w:spacing w:line="560" w:lineRule="exact"/>
        <w:ind w:firstLine="640" w:firstLineChars="200"/>
        <w:outlineLvl w:val="1"/>
        <w:rPr>
          <w:rStyle w:val="51"/>
          <w:rFonts w:ascii="黑体" w:hAnsi="黑体" w:eastAsia="黑体"/>
          <w:b w:val="0"/>
        </w:rPr>
      </w:pPr>
      <w:bookmarkStart w:id="32" w:name="_Toc15377208"/>
      <w:bookmarkStart w:id="33" w:name="_Toc15396606"/>
      <w:bookmarkStart w:id="34" w:name="_Toc49976119"/>
      <w:bookmarkStart w:id="35" w:name="_Toc49975932"/>
      <w:r>
        <w:rPr>
          <w:rFonts w:hint="eastAsia" w:ascii="黑体" w:hAnsi="黑体" w:eastAsia="黑体"/>
          <w:color w:val="000000"/>
          <w:szCs w:val="32"/>
        </w:rPr>
        <w:t>四、财</w:t>
      </w:r>
      <w:r>
        <w:rPr>
          <w:rStyle w:val="51"/>
          <w:rFonts w:hint="eastAsia" w:ascii="黑体" w:hAnsi="黑体" w:eastAsia="黑体"/>
        </w:rPr>
        <w:t>政拨款收入支出决算总体情况说明</w:t>
      </w:r>
      <w:bookmarkEnd w:id="32"/>
      <w:bookmarkEnd w:id="33"/>
      <w:bookmarkEnd w:id="34"/>
      <w:bookmarkEnd w:id="35"/>
    </w:p>
    <w:p>
      <w:pPr>
        <w:spacing w:line="560" w:lineRule="exact"/>
        <w:ind w:firstLine="640" w:firstLineChars="200"/>
        <w:rPr>
          <w:rFonts w:ascii="仿宋" w:hAnsi="仿宋"/>
          <w:color w:val="000000"/>
          <w:szCs w:val="32"/>
        </w:rPr>
      </w:pPr>
      <w:r>
        <w:rPr>
          <w:rFonts w:ascii="仿宋_GB2312" w:hAnsi="仿宋"/>
          <w:szCs w:val="32"/>
        </w:rPr>
        <w:drawing>
          <wp:anchor distT="0" distB="0" distL="114300" distR="114300" simplePos="0" relativeHeight="251661312" behindDoc="0" locked="0" layoutInCell="1" allowOverlap="1">
            <wp:simplePos x="0" y="0"/>
            <wp:positionH relativeFrom="column">
              <wp:posOffset>1283335</wp:posOffset>
            </wp:positionH>
            <wp:positionV relativeFrom="paragraph">
              <wp:posOffset>1218565</wp:posOffset>
            </wp:positionV>
            <wp:extent cx="2911475" cy="1741805"/>
            <wp:effectExtent l="0" t="0" r="3175" b="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11475" cy="1741805"/>
                    </a:xfrm>
                    <a:prstGeom prst="rect">
                      <a:avLst/>
                    </a:prstGeom>
                    <a:noFill/>
                    <a:ln>
                      <a:noFill/>
                    </a:ln>
                  </pic:spPr>
                </pic:pic>
              </a:graphicData>
            </a:graphic>
          </wp:anchor>
        </w:drawing>
      </w:r>
      <w:r>
        <w:rPr>
          <w:rFonts w:ascii="仿宋" w:hAnsi="仿宋" w:eastAsia="仿宋"/>
          <w:color w:val="000000"/>
          <w:szCs w:val="32"/>
        </w:rPr>
        <w:t>20</w:t>
      </w:r>
      <w:r>
        <w:rPr>
          <w:rFonts w:hint="eastAsia" w:ascii="仿宋" w:hAnsi="仿宋" w:eastAsia="仿宋"/>
          <w:color w:val="000000"/>
          <w:szCs w:val="32"/>
        </w:rPr>
        <w:t>20年财政拨款收、</w:t>
      </w:r>
      <w:r>
        <w:rPr>
          <w:rFonts w:hint="eastAsia" w:ascii="仿宋" w:hAnsi="仿宋" w:eastAsia="仿宋"/>
          <w:szCs w:val="32"/>
        </w:rPr>
        <w:t>支总计</w:t>
      </w:r>
      <w:r>
        <w:rPr>
          <w:rFonts w:hint="eastAsia" w:ascii="仿宋" w:hAnsi="仿宋" w:eastAsia="仿宋"/>
          <w:color w:val="000000"/>
          <w:szCs w:val="32"/>
          <w:lang w:val="en-US" w:eastAsia="zh-CN"/>
        </w:rPr>
        <w:t>1419.56</w:t>
      </w:r>
      <w:r>
        <w:rPr>
          <w:rFonts w:hint="eastAsia" w:ascii="仿宋" w:hAnsi="仿宋" w:eastAsia="仿宋"/>
          <w:szCs w:val="32"/>
        </w:rPr>
        <w:t>万元。</w:t>
      </w:r>
      <w:r>
        <w:rPr>
          <w:rFonts w:hint="eastAsia" w:ascii="仿宋" w:hAnsi="仿宋" w:eastAsia="仿宋"/>
          <w:color w:val="000000"/>
          <w:szCs w:val="32"/>
        </w:rPr>
        <w:t>与2019年相比，收、支总计各</w:t>
      </w:r>
      <w:r>
        <w:rPr>
          <w:rFonts w:hint="eastAsia" w:ascii="仿宋" w:hAnsi="仿宋" w:eastAsia="仿宋"/>
          <w:szCs w:val="32"/>
        </w:rPr>
        <w:t>增加</w:t>
      </w:r>
      <w:r>
        <w:rPr>
          <w:rFonts w:hint="eastAsia" w:ascii="仿宋" w:hAnsi="仿宋" w:eastAsia="仿宋"/>
          <w:szCs w:val="32"/>
          <w:lang w:val="en-US" w:eastAsia="zh-CN"/>
        </w:rPr>
        <w:t>335.89</w:t>
      </w:r>
      <w:r>
        <w:rPr>
          <w:rFonts w:hint="eastAsia" w:ascii="仿宋" w:hAnsi="仿宋" w:eastAsia="仿宋"/>
          <w:color w:val="000000"/>
          <w:szCs w:val="32"/>
        </w:rPr>
        <w:t>万元，增长</w:t>
      </w:r>
      <w:r>
        <w:rPr>
          <w:rFonts w:hint="eastAsia" w:ascii="仿宋" w:hAnsi="仿宋" w:eastAsia="仿宋"/>
          <w:color w:val="000000"/>
          <w:szCs w:val="32"/>
          <w:lang w:val="en-US" w:eastAsia="zh-CN"/>
        </w:rPr>
        <w:t>31</w:t>
      </w:r>
      <w:r>
        <w:rPr>
          <w:rFonts w:hint="eastAsia" w:ascii="仿宋" w:hAnsi="仿宋" w:eastAsia="仿宋"/>
          <w:color w:val="000000"/>
          <w:szCs w:val="32"/>
        </w:rPr>
        <w:t>%。主要变动原因是</w:t>
      </w:r>
      <w:r>
        <w:rPr>
          <w:rFonts w:hint="eastAsia" w:ascii="仿宋_GB2312" w:hAnsi="仿宋"/>
          <w:szCs w:val="32"/>
        </w:rPr>
        <w:t>年中有新增地方财政配套资金。</w:t>
      </w:r>
    </w:p>
    <w:p>
      <w:pPr>
        <w:spacing w:line="560" w:lineRule="exact"/>
        <w:ind w:firstLine="640" w:firstLineChars="200"/>
        <w:outlineLvl w:val="1"/>
        <w:rPr>
          <w:rFonts w:ascii="黑体" w:hAnsi="黑体" w:eastAsia="黑体"/>
          <w:bCs/>
          <w:szCs w:val="32"/>
        </w:rPr>
      </w:pPr>
      <w:bookmarkStart w:id="36" w:name="_Toc49976120"/>
      <w:bookmarkStart w:id="37" w:name="_Toc49975933"/>
      <w:bookmarkStart w:id="38" w:name="_Toc15396607"/>
      <w:bookmarkStart w:id="39" w:name="_Toc15377209"/>
      <w:r>
        <w:rPr>
          <w:rFonts w:hint="eastAsia" w:ascii="黑体" w:hAnsi="黑体" w:eastAsia="黑体"/>
          <w:color w:val="000000"/>
          <w:szCs w:val="32"/>
        </w:rPr>
        <w:t>五、</w:t>
      </w:r>
      <w:r>
        <w:rPr>
          <w:rFonts w:hint="eastAsia" w:ascii="黑体" w:hAnsi="黑体" w:eastAsia="黑体"/>
          <w:b/>
          <w:color w:val="000000"/>
          <w:szCs w:val="32"/>
        </w:rPr>
        <w:t>一</w:t>
      </w:r>
      <w:r>
        <w:rPr>
          <w:rStyle w:val="51"/>
          <w:rFonts w:hint="eastAsia" w:ascii="黑体" w:hAnsi="黑体" w:eastAsia="黑体"/>
        </w:rPr>
        <w:t>般公共预算财政拨款支出决算情况说明</w:t>
      </w:r>
      <w:bookmarkEnd w:id="36"/>
      <w:bookmarkEnd w:id="37"/>
      <w:bookmarkEnd w:id="38"/>
      <w:bookmarkEnd w:id="39"/>
      <w:bookmarkStart w:id="40" w:name="_Toc15377210"/>
    </w:p>
    <w:p>
      <w:pPr>
        <w:spacing w:line="560" w:lineRule="exact"/>
        <w:ind w:firstLine="643" w:firstLineChars="200"/>
        <w:outlineLvl w:val="2"/>
        <w:rPr>
          <w:rFonts w:ascii="仿宋" w:hAnsi="仿宋" w:eastAsia="仿宋"/>
          <w:b/>
          <w:color w:val="000000"/>
          <w:szCs w:val="32"/>
        </w:rPr>
      </w:pPr>
      <w:r>
        <w:rPr>
          <w:rFonts w:hint="eastAsia" w:ascii="仿宋" w:hAnsi="仿宋" w:eastAsia="仿宋"/>
          <w:b/>
          <w:color w:val="000000"/>
          <w:szCs w:val="32"/>
        </w:rPr>
        <w:t>（一）一般公共预算财政拨款支出决算总体情况</w:t>
      </w:r>
      <w:bookmarkEnd w:id="40"/>
    </w:p>
    <w:p>
      <w:pPr>
        <w:snapToGrid w:val="0"/>
        <w:spacing w:line="520" w:lineRule="exact"/>
        <w:ind w:firstLine="640" w:firstLineChars="200"/>
        <w:rPr>
          <w:rFonts w:ascii="仿宋" w:hAnsi="仿宋" w:eastAsia="仿宋"/>
          <w:color w:val="000000"/>
          <w:szCs w:val="32"/>
        </w:rPr>
      </w:pPr>
      <w:r>
        <w:rPr>
          <w:rFonts w:ascii="仿宋" w:hAnsi="仿宋" w:eastAsia="仿宋"/>
          <w:color w:val="000000"/>
          <w:szCs w:val="32"/>
        </w:rPr>
        <w:t>20</w:t>
      </w:r>
      <w:r>
        <w:rPr>
          <w:rFonts w:hint="eastAsia" w:ascii="仿宋" w:hAnsi="仿宋" w:eastAsia="仿宋"/>
          <w:color w:val="000000"/>
          <w:szCs w:val="32"/>
        </w:rPr>
        <w:t>20年一般公共预算财政拨款支出</w:t>
      </w:r>
      <w:r>
        <w:rPr>
          <w:rFonts w:hint="eastAsia" w:ascii="仿宋" w:hAnsi="仿宋" w:eastAsia="仿宋"/>
          <w:color w:val="000000"/>
          <w:szCs w:val="32"/>
          <w:lang w:val="en-US" w:eastAsia="zh-CN"/>
        </w:rPr>
        <w:t>1419.56</w:t>
      </w:r>
      <w:r>
        <w:rPr>
          <w:rFonts w:hint="eastAsia" w:ascii="仿宋" w:hAnsi="仿宋" w:eastAsia="仿宋"/>
          <w:color w:val="000000"/>
          <w:szCs w:val="32"/>
        </w:rPr>
        <w:t>万元，占本年支出合计的100.00</w:t>
      </w:r>
      <w:r>
        <w:rPr>
          <w:rFonts w:ascii="仿宋" w:hAnsi="仿宋" w:eastAsia="仿宋"/>
          <w:color w:val="000000"/>
          <w:szCs w:val="32"/>
        </w:rPr>
        <w:t>%</w:t>
      </w:r>
      <w:r>
        <w:rPr>
          <w:rFonts w:hint="eastAsia" w:ascii="仿宋" w:hAnsi="仿宋" w:eastAsia="仿宋"/>
          <w:color w:val="000000"/>
          <w:szCs w:val="32"/>
        </w:rPr>
        <w:t>。与</w:t>
      </w:r>
      <w:r>
        <w:rPr>
          <w:rFonts w:ascii="仿宋" w:hAnsi="仿宋" w:eastAsia="仿宋"/>
          <w:color w:val="000000"/>
          <w:szCs w:val="32"/>
        </w:rPr>
        <w:t>201</w:t>
      </w:r>
      <w:r>
        <w:rPr>
          <w:rFonts w:hint="eastAsia" w:ascii="仿宋" w:hAnsi="仿宋" w:eastAsia="仿宋"/>
          <w:color w:val="000000"/>
          <w:szCs w:val="32"/>
        </w:rPr>
        <w:t>9年相比，一般公共预算财政拨款增加</w:t>
      </w:r>
      <w:r>
        <w:rPr>
          <w:rFonts w:hint="eastAsia" w:ascii="仿宋" w:hAnsi="仿宋" w:eastAsia="仿宋"/>
          <w:color w:val="000000"/>
          <w:szCs w:val="32"/>
          <w:lang w:val="en-US" w:eastAsia="zh-CN"/>
        </w:rPr>
        <w:t>335.89</w:t>
      </w:r>
      <w:r>
        <w:rPr>
          <w:rFonts w:hint="eastAsia" w:ascii="仿宋" w:hAnsi="仿宋" w:eastAsia="仿宋"/>
          <w:color w:val="000000"/>
          <w:szCs w:val="32"/>
        </w:rPr>
        <w:t>万元，增加</w:t>
      </w:r>
      <w:r>
        <w:rPr>
          <w:rFonts w:hint="eastAsia" w:ascii="仿宋" w:hAnsi="仿宋" w:eastAsia="仿宋"/>
          <w:color w:val="000000"/>
          <w:szCs w:val="32"/>
          <w:lang w:val="en-US" w:eastAsia="zh-CN"/>
        </w:rPr>
        <w:t>31</w:t>
      </w:r>
      <w:r>
        <w:rPr>
          <w:rFonts w:ascii="仿宋" w:hAnsi="仿宋" w:eastAsia="仿宋"/>
          <w:color w:val="000000"/>
          <w:szCs w:val="32"/>
        </w:rPr>
        <w:t>%</w:t>
      </w:r>
      <w:r>
        <w:rPr>
          <w:rFonts w:hint="eastAsia" w:ascii="仿宋" w:hAnsi="仿宋" w:eastAsia="仿宋"/>
          <w:color w:val="000000"/>
          <w:szCs w:val="32"/>
        </w:rPr>
        <w:t>。主要变动原因是</w:t>
      </w:r>
      <w:r>
        <w:rPr>
          <w:rFonts w:hint="eastAsia" w:ascii="仿宋_GB2312" w:hAnsi="仿宋"/>
          <w:szCs w:val="32"/>
        </w:rPr>
        <w:t>年中有新增地方财政配套资金</w:t>
      </w:r>
      <w:r>
        <w:rPr>
          <w:rFonts w:hint="eastAsia" w:ascii="仿宋" w:hAnsi="仿宋" w:eastAsia="仿宋"/>
          <w:color w:val="000000"/>
          <w:szCs w:val="32"/>
        </w:rPr>
        <w:t>。</w:t>
      </w:r>
    </w:p>
    <w:p>
      <w:pPr>
        <w:snapToGrid w:val="0"/>
        <w:spacing w:line="520" w:lineRule="exact"/>
        <w:ind w:firstLine="640" w:firstLineChars="200"/>
        <w:rPr>
          <w:rFonts w:hint="eastAsia" w:ascii="仿宋_GB2312" w:hAnsi="仿宋" w:eastAsia="仿宋_GB2312"/>
          <w:szCs w:val="32"/>
          <w:lang w:val="en-US" w:eastAsia="zh-CN"/>
        </w:rPr>
      </w:pPr>
    </w:p>
    <w:p>
      <w:pPr>
        <w:spacing w:line="560" w:lineRule="exact"/>
        <w:ind w:firstLine="643" w:firstLineChars="200"/>
        <w:outlineLvl w:val="2"/>
        <w:rPr>
          <w:rFonts w:ascii="仿宋" w:hAnsi="仿宋" w:eastAsia="仿宋"/>
          <w:b/>
          <w:color w:val="000000"/>
          <w:szCs w:val="32"/>
        </w:rPr>
      </w:pPr>
      <w:bookmarkStart w:id="41" w:name="_Toc15377211"/>
      <w:r>
        <w:rPr>
          <w:rFonts w:hint="eastAsia" w:ascii="仿宋" w:hAnsi="仿宋" w:eastAsia="仿宋"/>
          <w:b/>
          <w:color w:val="000000"/>
          <w:szCs w:val="32"/>
        </w:rPr>
        <w:t>（二）一般公共预算财政拨款支出决算结构情况</w:t>
      </w:r>
      <w:bookmarkEnd w:id="41"/>
    </w:p>
    <w:p>
      <w:pPr>
        <w:spacing w:line="560" w:lineRule="exact"/>
        <w:ind w:firstLine="640"/>
        <w:rPr>
          <w:rFonts w:ascii="仿宋" w:hAnsi="仿宋" w:eastAsia="仿宋"/>
          <w:color w:val="000000"/>
          <w:szCs w:val="32"/>
        </w:rPr>
      </w:pPr>
      <w:r>
        <w:rPr>
          <w:rFonts w:ascii="仿宋" w:hAnsi="仿宋" w:eastAsia="仿宋"/>
          <w:color w:val="000000"/>
          <w:szCs w:val="32"/>
        </w:rPr>
        <w:drawing>
          <wp:anchor distT="0" distB="0" distL="114300" distR="114300" simplePos="0" relativeHeight="251664384" behindDoc="0" locked="0" layoutInCell="1" allowOverlap="1">
            <wp:simplePos x="0" y="0"/>
            <wp:positionH relativeFrom="column">
              <wp:posOffset>887095</wp:posOffset>
            </wp:positionH>
            <wp:positionV relativeFrom="paragraph">
              <wp:posOffset>1837055</wp:posOffset>
            </wp:positionV>
            <wp:extent cx="3664585" cy="2203450"/>
            <wp:effectExtent l="0" t="0" r="0" b="6985"/>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664800" cy="2203200"/>
                    </a:xfrm>
                    <a:prstGeom prst="rect">
                      <a:avLst/>
                    </a:prstGeom>
                    <a:noFill/>
                    <a:ln>
                      <a:noFill/>
                    </a:ln>
                  </pic:spPr>
                </pic:pic>
              </a:graphicData>
            </a:graphic>
          </wp:anchor>
        </w:drawing>
      </w:r>
      <w:r>
        <w:rPr>
          <w:rFonts w:ascii="仿宋" w:hAnsi="仿宋" w:eastAsia="仿宋"/>
          <w:color w:val="000000"/>
          <w:szCs w:val="32"/>
        </w:rPr>
        <w:t>2</w:t>
      </w:r>
      <w:r>
        <w:rPr>
          <w:rFonts w:hint="eastAsia" w:ascii="仿宋" w:hAnsi="仿宋" w:eastAsia="仿宋"/>
          <w:color w:val="000000"/>
          <w:szCs w:val="32"/>
        </w:rPr>
        <w:t>020年一般公共预算财政拨款支出</w:t>
      </w:r>
      <w:r>
        <w:rPr>
          <w:rFonts w:hint="eastAsia" w:ascii="仿宋" w:hAnsi="仿宋" w:eastAsia="仿宋"/>
          <w:color w:val="000000"/>
          <w:szCs w:val="32"/>
          <w:lang w:val="en-US" w:eastAsia="zh-CN"/>
        </w:rPr>
        <w:t>1419.56</w:t>
      </w:r>
      <w:r>
        <w:rPr>
          <w:rFonts w:hint="eastAsia" w:ascii="仿宋" w:hAnsi="仿宋" w:eastAsia="仿宋"/>
          <w:color w:val="000000"/>
          <w:szCs w:val="32"/>
        </w:rPr>
        <w:t>万元，主要用于以下方面</w:t>
      </w:r>
      <w:r>
        <w:rPr>
          <w:rFonts w:ascii="仿宋" w:hAnsi="仿宋" w:eastAsia="仿宋"/>
          <w:color w:val="000000"/>
          <w:szCs w:val="32"/>
        </w:rPr>
        <w:t>:</w:t>
      </w:r>
      <w:r>
        <w:rPr>
          <w:rFonts w:hint="eastAsia" w:ascii="仿宋" w:hAnsi="仿宋" w:eastAsia="仿宋"/>
          <w:b/>
          <w:color w:val="000000"/>
          <w:szCs w:val="32"/>
        </w:rPr>
        <w:t>一般公共服务（类）</w:t>
      </w:r>
      <w:r>
        <w:rPr>
          <w:rFonts w:hint="eastAsia" w:ascii="仿宋" w:hAnsi="仿宋" w:eastAsia="仿宋"/>
          <w:color w:val="000000"/>
          <w:szCs w:val="32"/>
        </w:rPr>
        <w:t>支出</w:t>
      </w:r>
      <w:r>
        <w:rPr>
          <w:rFonts w:hint="eastAsia" w:ascii="仿宋" w:hAnsi="仿宋" w:eastAsia="仿宋"/>
          <w:color w:val="000000"/>
          <w:szCs w:val="32"/>
          <w:lang w:val="en-US" w:eastAsia="zh-CN"/>
        </w:rPr>
        <w:t>1257.2</w:t>
      </w:r>
      <w:r>
        <w:rPr>
          <w:rFonts w:hint="eastAsia" w:ascii="仿宋" w:hAnsi="仿宋" w:eastAsia="仿宋"/>
          <w:color w:val="000000"/>
          <w:szCs w:val="32"/>
        </w:rPr>
        <w:t>万元，占</w:t>
      </w:r>
      <w:r>
        <w:rPr>
          <w:rFonts w:hint="eastAsia" w:ascii="仿宋" w:hAnsi="仿宋" w:eastAsia="仿宋"/>
          <w:color w:val="000000"/>
          <w:szCs w:val="32"/>
          <w:lang w:val="en-US" w:eastAsia="zh-CN"/>
        </w:rPr>
        <w:t>88.57</w:t>
      </w:r>
      <w:r>
        <w:rPr>
          <w:rFonts w:ascii="仿宋" w:hAnsi="仿宋" w:eastAsia="仿宋"/>
          <w:color w:val="000000"/>
          <w:szCs w:val="32"/>
        </w:rPr>
        <w:t>%</w:t>
      </w:r>
      <w:r>
        <w:rPr>
          <w:rFonts w:hint="eastAsia" w:ascii="仿宋" w:hAnsi="仿宋" w:eastAsia="仿宋"/>
          <w:color w:val="000000"/>
          <w:szCs w:val="32"/>
        </w:rPr>
        <w:t>；</w:t>
      </w:r>
      <w:r>
        <w:rPr>
          <w:rFonts w:hint="eastAsia" w:ascii="仿宋" w:hAnsi="仿宋" w:eastAsia="仿宋"/>
          <w:b/>
          <w:color w:val="000000"/>
          <w:szCs w:val="32"/>
        </w:rPr>
        <w:t>社会保障和就业（类）</w:t>
      </w:r>
      <w:r>
        <w:rPr>
          <w:rFonts w:hint="eastAsia" w:ascii="仿宋" w:hAnsi="仿宋" w:eastAsia="仿宋"/>
          <w:color w:val="000000"/>
          <w:szCs w:val="32"/>
        </w:rPr>
        <w:t>支出</w:t>
      </w:r>
      <w:r>
        <w:rPr>
          <w:rFonts w:hint="eastAsia" w:ascii="仿宋" w:hAnsi="仿宋" w:eastAsia="仿宋"/>
          <w:color w:val="000000"/>
          <w:szCs w:val="32"/>
          <w:lang w:val="en-US" w:eastAsia="zh-CN"/>
        </w:rPr>
        <w:t>77.19</w:t>
      </w:r>
      <w:r>
        <w:rPr>
          <w:rFonts w:hint="eastAsia" w:ascii="仿宋" w:hAnsi="仿宋" w:eastAsia="仿宋"/>
          <w:color w:val="000000"/>
          <w:szCs w:val="32"/>
        </w:rPr>
        <w:t>万元，占5.</w:t>
      </w:r>
      <w:r>
        <w:rPr>
          <w:rFonts w:hint="eastAsia" w:ascii="仿宋" w:hAnsi="仿宋" w:eastAsia="仿宋"/>
          <w:color w:val="000000"/>
          <w:szCs w:val="32"/>
          <w:lang w:val="en-US" w:eastAsia="zh-CN"/>
        </w:rPr>
        <w:t>4</w:t>
      </w:r>
      <w:r>
        <w:rPr>
          <w:rFonts w:ascii="仿宋" w:hAnsi="仿宋" w:eastAsia="仿宋"/>
          <w:color w:val="000000"/>
          <w:szCs w:val="32"/>
        </w:rPr>
        <w:t>%</w:t>
      </w:r>
      <w:r>
        <w:rPr>
          <w:rFonts w:hint="eastAsia" w:ascii="仿宋" w:hAnsi="仿宋" w:eastAsia="仿宋"/>
          <w:color w:val="000000"/>
          <w:szCs w:val="32"/>
        </w:rPr>
        <w:t>；</w:t>
      </w:r>
      <w:r>
        <w:rPr>
          <w:rFonts w:hint="eastAsia" w:ascii="仿宋" w:hAnsi="仿宋" w:eastAsia="仿宋"/>
          <w:b/>
          <w:bCs/>
          <w:color w:val="000000"/>
          <w:szCs w:val="32"/>
        </w:rPr>
        <w:t>卫生健康支出</w:t>
      </w:r>
      <w:r>
        <w:rPr>
          <w:rFonts w:hint="eastAsia" w:ascii="仿宋" w:hAnsi="仿宋" w:eastAsia="仿宋"/>
          <w:b/>
          <w:bCs/>
          <w:color w:val="000000"/>
          <w:szCs w:val="32"/>
          <w:lang w:val="en-US" w:eastAsia="zh-CN"/>
        </w:rPr>
        <w:t>41.86</w:t>
      </w:r>
      <w:r>
        <w:rPr>
          <w:rFonts w:hint="eastAsia" w:ascii="仿宋" w:hAnsi="仿宋" w:eastAsia="仿宋"/>
          <w:color w:val="000000"/>
          <w:szCs w:val="32"/>
        </w:rPr>
        <w:t>万元，占2.</w:t>
      </w:r>
      <w:r>
        <w:rPr>
          <w:rFonts w:hint="eastAsia" w:ascii="仿宋" w:hAnsi="仿宋" w:eastAsia="仿宋"/>
          <w:color w:val="000000"/>
          <w:szCs w:val="32"/>
          <w:lang w:val="en-US" w:eastAsia="zh-CN"/>
        </w:rPr>
        <w:t>9</w:t>
      </w:r>
      <w:r>
        <w:rPr>
          <w:rFonts w:ascii="仿宋" w:hAnsi="仿宋" w:eastAsia="仿宋"/>
          <w:color w:val="000000"/>
          <w:szCs w:val="32"/>
        </w:rPr>
        <w:t>%</w:t>
      </w:r>
      <w:r>
        <w:rPr>
          <w:rFonts w:hint="eastAsia" w:ascii="仿宋" w:hAnsi="仿宋" w:eastAsia="仿宋"/>
          <w:color w:val="000000"/>
          <w:szCs w:val="32"/>
        </w:rPr>
        <w:t>；住房保障支出</w:t>
      </w:r>
      <w:r>
        <w:rPr>
          <w:rFonts w:hint="eastAsia" w:ascii="仿宋" w:hAnsi="仿宋" w:eastAsia="仿宋"/>
          <w:color w:val="000000"/>
          <w:szCs w:val="32"/>
          <w:lang w:val="en-US" w:eastAsia="zh-CN"/>
        </w:rPr>
        <w:t>43.3</w:t>
      </w:r>
      <w:r>
        <w:rPr>
          <w:rFonts w:hint="eastAsia" w:ascii="仿宋" w:hAnsi="仿宋" w:eastAsia="仿宋"/>
          <w:color w:val="000000"/>
          <w:szCs w:val="32"/>
        </w:rPr>
        <w:t>万元，占</w:t>
      </w:r>
      <w:r>
        <w:rPr>
          <w:rFonts w:hint="eastAsia" w:ascii="仿宋" w:hAnsi="仿宋" w:eastAsia="仿宋"/>
          <w:color w:val="000000"/>
          <w:szCs w:val="32"/>
          <w:lang w:val="en-US" w:eastAsia="zh-CN"/>
        </w:rPr>
        <w:t>3</w:t>
      </w:r>
      <w:r>
        <w:rPr>
          <w:rFonts w:ascii="仿宋" w:hAnsi="仿宋" w:eastAsia="仿宋"/>
          <w:color w:val="000000"/>
          <w:szCs w:val="32"/>
        </w:rPr>
        <w:t>%</w:t>
      </w:r>
      <w:r>
        <w:rPr>
          <w:rFonts w:hint="eastAsia" w:ascii="仿宋" w:hAnsi="仿宋" w:eastAsia="仿宋"/>
          <w:color w:val="000000"/>
          <w:szCs w:val="32"/>
        </w:rPr>
        <w:t>。</w:t>
      </w:r>
    </w:p>
    <w:p>
      <w:pPr>
        <w:spacing w:line="560" w:lineRule="exact"/>
        <w:ind w:firstLine="643" w:firstLineChars="200"/>
        <w:outlineLvl w:val="2"/>
        <w:rPr>
          <w:rFonts w:ascii="仿宋" w:hAnsi="仿宋" w:eastAsia="仿宋"/>
          <w:b/>
          <w:color w:val="000000"/>
          <w:szCs w:val="32"/>
        </w:rPr>
      </w:pPr>
      <w:bookmarkStart w:id="42" w:name="_Toc15377212"/>
      <w:r>
        <w:rPr>
          <w:rFonts w:hint="eastAsia" w:ascii="仿宋" w:hAnsi="仿宋" w:eastAsia="仿宋"/>
          <w:b/>
          <w:color w:val="000000"/>
          <w:szCs w:val="32"/>
        </w:rPr>
        <w:t>（三）一般公共预算财政拨款支出决算具体情况</w:t>
      </w:r>
      <w:bookmarkEnd w:id="42"/>
    </w:p>
    <w:p>
      <w:pPr>
        <w:spacing w:line="560" w:lineRule="exact"/>
        <w:ind w:firstLine="640" w:firstLineChars="200"/>
        <w:rPr>
          <w:rFonts w:ascii="仿宋_GB2312"/>
        </w:rPr>
      </w:pPr>
      <w:bookmarkStart w:id="43" w:name="_Toc15377213"/>
      <w:bookmarkStart w:id="44" w:name="_Toc15378460"/>
      <w:bookmarkStart w:id="45" w:name="_Toc15377444"/>
      <w:r>
        <w:rPr>
          <w:rFonts w:hint="eastAsia" w:ascii="仿宋_GB2312"/>
        </w:rPr>
        <w:t>2020年一般公共预算支出决算数为</w:t>
      </w:r>
      <w:r>
        <w:rPr>
          <w:rFonts w:hint="eastAsia" w:ascii="仿宋_GB2312"/>
          <w:lang w:val="en-US" w:eastAsia="zh-CN"/>
        </w:rPr>
        <w:t>1364.56</w:t>
      </w:r>
      <w:r>
        <w:rPr>
          <w:rFonts w:hint="eastAsia" w:ascii="仿宋_GB2312"/>
        </w:rPr>
        <w:t>万元，</w:t>
      </w:r>
      <w:r>
        <w:rPr>
          <w:rFonts w:hint="eastAsia" w:ascii="仿宋_GB2312"/>
          <w:b/>
        </w:rPr>
        <w:t>完成预算100%。其中：</w:t>
      </w:r>
      <w:bookmarkEnd w:id="43"/>
      <w:bookmarkEnd w:id="44"/>
      <w:bookmarkEnd w:id="45"/>
    </w:p>
    <w:p>
      <w:pPr>
        <w:spacing w:line="560" w:lineRule="exact"/>
        <w:rPr>
          <w:rFonts w:ascii="仿宋_GB2312" w:hAnsi="仿宋"/>
          <w:color w:val="000000"/>
          <w:szCs w:val="32"/>
        </w:rPr>
      </w:pPr>
      <w:r>
        <w:rPr>
          <w:rStyle w:val="29"/>
          <w:rFonts w:ascii="仿宋" w:hAnsi="仿宋" w:eastAsia="仿宋"/>
          <w:bCs w:val="0"/>
          <w:color w:val="000000"/>
          <w:szCs w:val="32"/>
        </w:rPr>
        <w:t>1.</w:t>
      </w:r>
      <w:r>
        <w:rPr>
          <w:rStyle w:val="29"/>
          <w:rFonts w:hint="eastAsia" w:ascii="仿宋" w:hAnsi="仿宋" w:eastAsia="仿宋"/>
          <w:bCs w:val="0"/>
          <w:color w:val="000000"/>
          <w:szCs w:val="32"/>
        </w:rPr>
        <w:t>公共安全</w:t>
      </w:r>
      <w:r>
        <w:rPr>
          <w:rStyle w:val="29"/>
          <w:rFonts w:ascii="仿宋" w:hAnsi="仿宋" w:eastAsia="仿宋"/>
          <w:bCs w:val="0"/>
          <w:color w:val="000000"/>
          <w:szCs w:val="32"/>
        </w:rPr>
        <w:t xml:space="preserve">: </w:t>
      </w:r>
      <w:r>
        <w:rPr>
          <w:rFonts w:hint="eastAsia" w:ascii="仿宋_GB2312"/>
        </w:rPr>
        <w:t>2040201行政运行支出决算为538.79万元，完成预算100.00</w:t>
      </w:r>
      <w:r>
        <w:rPr>
          <w:rFonts w:ascii="仿宋_GB2312"/>
        </w:rPr>
        <w:t>%</w:t>
      </w:r>
      <w:r>
        <w:rPr>
          <w:rFonts w:hint="eastAsia" w:ascii="仿宋_GB2312"/>
        </w:rPr>
        <w:t>；2040202一般行政管理事务支出决算为270.35万元，完成预算100%；2049901其他公共安全支出决算为398.06万元，完成预算100.00%。</w:t>
      </w:r>
    </w:p>
    <w:p>
      <w:pPr>
        <w:spacing w:line="560" w:lineRule="exact"/>
        <w:rPr>
          <w:rFonts w:ascii="仿宋_GB2312"/>
        </w:rPr>
      </w:pPr>
      <w:r>
        <w:rPr>
          <w:rStyle w:val="29"/>
          <w:rFonts w:hint="eastAsia" w:ascii="仿宋" w:hAnsi="仿宋" w:eastAsia="仿宋"/>
          <w:bCs w:val="0"/>
          <w:color w:val="000000"/>
          <w:szCs w:val="32"/>
        </w:rPr>
        <w:t>2</w:t>
      </w:r>
      <w:r>
        <w:rPr>
          <w:rStyle w:val="29"/>
          <w:rFonts w:ascii="仿宋" w:hAnsi="仿宋" w:eastAsia="仿宋"/>
          <w:bCs w:val="0"/>
          <w:color w:val="000000"/>
          <w:szCs w:val="32"/>
        </w:rPr>
        <w:t>.</w:t>
      </w:r>
      <w:r>
        <w:rPr>
          <w:rStyle w:val="29"/>
          <w:rFonts w:hint="eastAsia" w:ascii="仿宋" w:hAnsi="仿宋" w:eastAsia="仿宋"/>
          <w:bCs w:val="0"/>
          <w:color w:val="000000"/>
          <w:szCs w:val="32"/>
        </w:rPr>
        <w:t>社会保障和就业</w:t>
      </w:r>
      <w:r>
        <w:rPr>
          <w:rStyle w:val="29"/>
          <w:rFonts w:ascii="仿宋" w:hAnsi="仿宋" w:eastAsia="仿宋"/>
          <w:bCs w:val="0"/>
          <w:color w:val="000000"/>
          <w:szCs w:val="32"/>
        </w:rPr>
        <w:t xml:space="preserve">: </w:t>
      </w:r>
      <w:r>
        <w:rPr>
          <w:rFonts w:hint="eastAsia" w:ascii="仿宋_GB2312"/>
        </w:rPr>
        <w:t>2080501归口管理的行政单位离退休支出决算20.37万元。完成预算100.00%；2080505机关事业单位基本养老保险缴费支出决算为</w:t>
      </w:r>
      <w:r>
        <w:rPr>
          <w:rFonts w:hint="eastAsia" w:ascii="仿宋_GB2312"/>
          <w:lang w:val="en-US" w:eastAsia="zh-CN"/>
        </w:rPr>
        <w:t>31.86</w:t>
      </w:r>
      <w:r>
        <w:rPr>
          <w:rFonts w:hint="eastAsia" w:ascii="仿宋_GB2312"/>
        </w:rPr>
        <w:t>万元，完成预算100.00%；2080506机关事业单位职业年金缴费支出决算为</w:t>
      </w:r>
      <w:r>
        <w:rPr>
          <w:rFonts w:hint="eastAsia" w:ascii="仿宋_GB2312"/>
          <w:lang w:val="en-US" w:eastAsia="zh-CN"/>
        </w:rPr>
        <w:t>24.95</w:t>
      </w:r>
      <w:r>
        <w:rPr>
          <w:rFonts w:hint="eastAsia" w:ascii="仿宋_GB2312"/>
        </w:rPr>
        <w:t>万元，完成预算100.00%。</w:t>
      </w:r>
    </w:p>
    <w:p>
      <w:pPr>
        <w:spacing w:line="560" w:lineRule="exact"/>
        <w:rPr>
          <w:rFonts w:ascii="仿宋_GB2312"/>
        </w:rPr>
      </w:pPr>
      <w:r>
        <w:rPr>
          <w:rStyle w:val="29"/>
          <w:rFonts w:hint="eastAsia" w:ascii="仿宋" w:hAnsi="仿宋" w:eastAsia="仿宋"/>
          <w:bCs w:val="0"/>
          <w:color w:val="000000"/>
          <w:szCs w:val="32"/>
        </w:rPr>
        <w:t>3</w:t>
      </w:r>
      <w:r>
        <w:rPr>
          <w:rStyle w:val="29"/>
          <w:rFonts w:ascii="仿宋" w:hAnsi="仿宋" w:eastAsia="仿宋"/>
          <w:bCs w:val="0"/>
          <w:color w:val="000000"/>
          <w:szCs w:val="32"/>
        </w:rPr>
        <w:t>.</w:t>
      </w:r>
      <w:r>
        <w:rPr>
          <w:rFonts w:hint="eastAsia" w:ascii="仿宋" w:hAnsi="仿宋" w:eastAsia="仿宋"/>
          <w:b/>
          <w:bCs/>
          <w:color w:val="000000"/>
          <w:szCs w:val="32"/>
        </w:rPr>
        <w:t>卫生健康</w:t>
      </w:r>
      <w:r>
        <w:rPr>
          <w:rStyle w:val="29"/>
          <w:rFonts w:ascii="仿宋" w:hAnsi="仿宋" w:eastAsia="仿宋"/>
          <w:bCs w:val="0"/>
          <w:color w:val="000000"/>
          <w:szCs w:val="32"/>
        </w:rPr>
        <w:t>:</w:t>
      </w:r>
      <w:r>
        <w:rPr>
          <w:rFonts w:hint="eastAsia" w:ascii="仿宋_GB2312"/>
        </w:rPr>
        <w:t>2101101行政单位医疗支出决算为31.87万元，完成预算100.00%；2100409重大公共卫生服务支出决算为5万元，完成预算0%。</w:t>
      </w:r>
    </w:p>
    <w:p>
      <w:pPr>
        <w:spacing w:line="560" w:lineRule="exact"/>
        <w:rPr>
          <w:rFonts w:ascii="仿宋_GB2312"/>
        </w:rPr>
      </w:pPr>
      <w:r>
        <w:rPr>
          <w:rStyle w:val="29"/>
          <w:rFonts w:hint="eastAsia" w:ascii="仿宋" w:hAnsi="仿宋" w:eastAsia="仿宋"/>
          <w:bCs w:val="0"/>
          <w:color w:val="000000"/>
          <w:szCs w:val="32"/>
        </w:rPr>
        <w:t>4</w:t>
      </w:r>
      <w:r>
        <w:rPr>
          <w:rStyle w:val="29"/>
          <w:rFonts w:ascii="仿宋" w:hAnsi="仿宋" w:eastAsia="仿宋"/>
          <w:bCs w:val="0"/>
          <w:color w:val="000000"/>
          <w:szCs w:val="32"/>
        </w:rPr>
        <w:t>.</w:t>
      </w:r>
      <w:r>
        <w:rPr>
          <w:rFonts w:hint="eastAsia" w:ascii="仿宋" w:hAnsi="仿宋" w:eastAsia="仿宋"/>
          <w:b/>
          <w:bCs/>
          <w:color w:val="000000"/>
          <w:szCs w:val="32"/>
        </w:rPr>
        <w:t>住房保障</w:t>
      </w:r>
      <w:r>
        <w:rPr>
          <w:rStyle w:val="29"/>
          <w:rFonts w:ascii="仿宋" w:hAnsi="仿宋" w:eastAsia="仿宋"/>
          <w:bCs w:val="0"/>
          <w:color w:val="000000"/>
          <w:szCs w:val="32"/>
        </w:rPr>
        <w:t>:</w:t>
      </w:r>
      <w:r>
        <w:rPr>
          <w:rFonts w:hint="eastAsia" w:ascii="仿宋_GB2312"/>
        </w:rPr>
        <w:t>2210201住房公积金支出决算为</w:t>
      </w:r>
      <w:r>
        <w:rPr>
          <w:rFonts w:hint="eastAsia" w:ascii="仿宋_GB2312"/>
          <w:lang w:val="en-US" w:eastAsia="zh-CN"/>
        </w:rPr>
        <w:t>43.3</w:t>
      </w:r>
      <w:r>
        <w:rPr>
          <w:rFonts w:hint="eastAsia" w:ascii="仿宋_GB2312"/>
        </w:rPr>
        <w:t>万元，完成预算100.00</w:t>
      </w:r>
      <w:r>
        <w:rPr>
          <w:rFonts w:ascii="仿宋_GB2312"/>
        </w:rPr>
        <w:t>%</w:t>
      </w:r>
      <w:r>
        <w:rPr>
          <w:rFonts w:hint="eastAsia" w:ascii="仿宋_GB2312"/>
        </w:rPr>
        <w:t>。</w:t>
      </w:r>
    </w:p>
    <w:p>
      <w:pPr>
        <w:spacing w:line="560" w:lineRule="exact"/>
        <w:ind w:firstLine="640"/>
        <w:rPr>
          <w:rFonts w:ascii="仿宋" w:hAnsi="仿宋" w:eastAsia="仿宋"/>
          <w:b/>
          <w:color w:val="000000"/>
          <w:szCs w:val="32"/>
        </w:rPr>
      </w:pPr>
    </w:p>
    <w:p>
      <w:pPr>
        <w:tabs>
          <w:tab w:val="right" w:pos="8306"/>
        </w:tabs>
        <w:spacing w:line="560" w:lineRule="exact"/>
        <w:ind w:firstLine="640"/>
        <w:outlineLvl w:val="1"/>
        <w:rPr>
          <w:rStyle w:val="51"/>
        </w:rPr>
      </w:pPr>
      <w:bookmarkStart w:id="46" w:name="_Toc49976121"/>
      <w:bookmarkStart w:id="47" w:name="_Toc49975934"/>
      <w:bookmarkStart w:id="48" w:name="_Toc15396608"/>
      <w:bookmarkStart w:id="49" w:name="_Toc15377214"/>
      <w:r>
        <w:rPr>
          <w:rFonts w:hint="eastAsia" w:ascii="黑体" w:eastAsia="黑体"/>
          <w:color w:val="000000"/>
          <w:szCs w:val="32"/>
        </w:rPr>
        <w:t>六</w:t>
      </w:r>
      <w:r>
        <w:rPr>
          <w:rFonts w:hint="eastAsia" w:ascii="黑体" w:eastAsia="黑体"/>
          <w:b/>
          <w:color w:val="000000"/>
          <w:szCs w:val="32"/>
        </w:rPr>
        <w:t>、</w:t>
      </w:r>
      <w:r>
        <w:rPr>
          <w:rFonts w:hint="eastAsia" w:ascii="黑体" w:hAnsi="黑体" w:eastAsia="黑体"/>
          <w:b/>
          <w:color w:val="000000"/>
          <w:szCs w:val="32"/>
        </w:rPr>
        <w:t>一</w:t>
      </w:r>
      <w:r>
        <w:rPr>
          <w:rStyle w:val="51"/>
          <w:rFonts w:hint="eastAsia" w:ascii="黑体" w:hAnsi="黑体" w:eastAsia="黑体"/>
        </w:rPr>
        <w:t>般公共预算财政拨款基本支出决算情况说明</w:t>
      </w:r>
      <w:bookmarkEnd w:id="46"/>
      <w:bookmarkEnd w:id="47"/>
      <w:bookmarkEnd w:id="48"/>
      <w:bookmarkEnd w:id="49"/>
      <w:r>
        <w:rPr>
          <w:rStyle w:val="51"/>
          <w:rFonts w:ascii="黑体" w:hAnsi="黑体" w:eastAsia="黑体"/>
        </w:rPr>
        <w:tab/>
      </w:r>
    </w:p>
    <w:p>
      <w:pPr>
        <w:spacing w:line="560" w:lineRule="exact"/>
        <w:ind w:firstLine="645"/>
        <w:rPr>
          <w:rFonts w:ascii="仿宋" w:hAnsi="仿宋" w:eastAsia="仿宋"/>
          <w:color w:val="000000"/>
          <w:szCs w:val="32"/>
        </w:rPr>
      </w:pPr>
      <w:r>
        <w:rPr>
          <w:rFonts w:ascii="仿宋" w:hAnsi="仿宋" w:eastAsia="仿宋"/>
          <w:color w:val="000000"/>
          <w:szCs w:val="32"/>
        </w:rPr>
        <w:t>20</w:t>
      </w:r>
      <w:r>
        <w:rPr>
          <w:rFonts w:hint="eastAsia" w:ascii="仿宋" w:hAnsi="仿宋" w:eastAsia="仿宋"/>
          <w:color w:val="000000"/>
          <w:szCs w:val="32"/>
        </w:rPr>
        <w:t>20年一般公共预算财政拨款基本支出781.96万元，其中：</w:t>
      </w:r>
    </w:p>
    <w:p>
      <w:pPr>
        <w:spacing w:line="560" w:lineRule="exact"/>
        <w:ind w:firstLine="645"/>
        <w:rPr>
          <w:rFonts w:ascii="仿宋" w:hAnsi="仿宋" w:eastAsia="仿宋"/>
          <w:color w:val="000000"/>
          <w:szCs w:val="32"/>
        </w:rPr>
      </w:pPr>
      <w:r>
        <w:rPr>
          <w:rFonts w:hint="eastAsia" w:ascii="仿宋" w:hAnsi="仿宋" w:eastAsia="仿宋"/>
          <w:color w:val="000000"/>
          <w:szCs w:val="32"/>
        </w:rPr>
        <w:t>人员经费</w:t>
      </w:r>
      <w:r>
        <w:rPr>
          <w:rFonts w:hint="eastAsia" w:ascii="仿宋" w:hAnsi="仿宋" w:eastAsia="仿宋"/>
          <w:color w:val="000000"/>
          <w:szCs w:val="32"/>
          <w:lang w:val="en-US" w:eastAsia="zh-CN"/>
        </w:rPr>
        <w:t>574.04</w:t>
      </w:r>
      <w:r>
        <w:rPr>
          <w:rFonts w:hint="eastAsia" w:ascii="仿宋" w:hAnsi="仿宋" w:eastAsia="仿宋"/>
          <w:color w:val="000000"/>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Cs w:val="32"/>
        </w:rPr>
        <w:br w:type="textWrapping"/>
      </w:r>
      <w:r>
        <w:rPr>
          <w:rFonts w:hint="eastAsia" w:ascii="仿宋" w:hAnsi="仿宋" w:eastAsia="仿宋"/>
          <w:color w:val="000000"/>
          <w:szCs w:val="32"/>
        </w:rPr>
        <w:t>　　日常公用经费</w:t>
      </w:r>
      <w:r>
        <w:rPr>
          <w:rFonts w:hint="eastAsia" w:ascii="仿宋" w:hAnsi="仿宋" w:eastAsia="仿宋"/>
          <w:color w:val="000000"/>
          <w:szCs w:val="32"/>
          <w:lang w:val="en-US" w:eastAsia="zh-CN"/>
        </w:rPr>
        <w:t>117.10</w:t>
      </w:r>
      <w:r>
        <w:rPr>
          <w:rFonts w:hint="eastAsia" w:ascii="仿宋" w:hAnsi="仿宋" w:eastAsia="仿宋"/>
          <w:color w:val="000000"/>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60" w:lineRule="exact"/>
        <w:ind w:firstLine="640"/>
        <w:outlineLvl w:val="1"/>
        <w:rPr>
          <w:rStyle w:val="51"/>
          <w:rFonts w:ascii="黑体" w:hAnsi="黑体" w:eastAsia="黑体"/>
          <w:b w:val="0"/>
        </w:rPr>
      </w:pPr>
      <w:bookmarkStart w:id="50" w:name="_Toc15396609"/>
      <w:bookmarkStart w:id="51" w:name="_Toc49975935"/>
      <w:bookmarkStart w:id="52" w:name="_Toc49976122"/>
      <w:bookmarkStart w:id="53" w:name="_Toc15377215"/>
      <w:r>
        <w:rPr>
          <w:rFonts w:hint="eastAsia" w:ascii="黑体" w:eastAsia="黑体"/>
          <w:color w:val="000000"/>
          <w:szCs w:val="32"/>
        </w:rPr>
        <w:t>七、</w:t>
      </w:r>
      <w:r>
        <w:rPr>
          <w:rStyle w:val="51"/>
          <w:rFonts w:hint="eastAsia" w:ascii="黑体" w:hAnsi="黑体" w:eastAsia="黑体"/>
        </w:rPr>
        <w:t>“三公”经费财政拨款支出决算情况说明</w:t>
      </w:r>
      <w:bookmarkEnd w:id="50"/>
      <w:bookmarkEnd w:id="51"/>
      <w:bookmarkEnd w:id="52"/>
      <w:bookmarkEnd w:id="53"/>
    </w:p>
    <w:p>
      <w:pPr>
        <w:spacing w:line="560" w:lineRule="exact"/>
        <w:ind w:firstLine="640"/>
        <w:outlineLvl w:val="2"/>
        <w:rPr>
          <w:rFonts w:ascii="仿宋" w:hAnsi="仿宋" w:eastAsia="仿宋"/>
          <w:b/>
          <w:color w:val="000000"/>
          <w:szCs w:val="32"/>
        </w:rPr>
      </w:pPr>
      <w:bookmarkStart w:id="54" w:name="_Toc15377216"/>
      <w:r>
        <w:rPr>
          <w:rFonts w:hint="eastAsia" w:ascii="仿宋" w:hAnsi="仿宋" w:eastAsia="仿宋"/>
          <w:b/>
          <w:color w:val="000000"/>
          <w:szCs w:val="32"/>
        </w:rPr>
        <w:t>（一）“三公”经费财政拨款支出决算总体情况说明</w:t>
      </w:r>
      <w:bookmarkEnd w:id="54"/>
    </w:p>
    <w:p>
      <w:pPr>
        <w:spacing w:line="560" w:lineRule="exact"/>
        <w:ind w:firstLine="640"/>
        <w:rPr>
          <w:rFonts w:ascii="仿宋" w:hAnsi="仿宋" w:eastAsia="仿宋"/>
          <w:color w:val="000000"/>
          <w:szCs w:val="32"/>
        </w:rPr>
      </w:pPr>
      <w:r>
        <w:rPr>
          <w:rFonts w:ascii="仿宋" w:hAnsi="仿宋" w:eastAsia="仿宋"/>
          <w:color w:val="000000"/>
          <w:szCs w:val="32"/>
        </w:rPr>
        <w:t>20</w:t>
      </w:r>
      <w:r>
        <w:rPr>
          <w:rFonts w:hint="eastAsia" w:ascii="仿宋" w:hAnsi="仿宋" w:eastAsia="仿宋"/>
          <w:color w:val="000000"/>
          <w:szCs w:val="32"/>
        </w:rPr>
        <w:t>20年“三公”经费财政拨款支出决算为10.</w:t>
      </w:r>
      <w:r>
        <w:rPr>
          <w:rFonts w:hint="eastAsia" w:ascii="仿宋" w:hAnsi="仿宋" w:eastAsia="仿宋"/>
          <w:color w:val="000000"/>
          <w:szCs w:val="32"/>
          <w:lang w:val="en-US" w:eastAsia="zh-CN"/>
        </w:rPr>
        <w:t>8</w:t>
      </w:r>
      <w:r>
        <w:rPr>
          <w:rFonts w:hint="eastAsia" w:ascii="仿宋" w:hAnsi="仿宋" w:eastAsia="仿宋"/>
          <w:color w:val="000000"/>
          <w:szCs w:val="32"/>
        </w:rPr>
        <w:t>1万元，完成预算99</w:t>
      </w:r>
      <w:r>
        <w:rPr>
          <w:rFonts w:ascii="仿宋" w:hAnsi="仿宋" w:eastAsia="仿宋"/>
          <w:color w:val="000000"/>
          <w:szCs w:val="32"/>
        </w:rPr>
        <w:t>%</w:t>
      </w:r>
      <w:r>
        <w:rPr>
          <w:rFonts w:hint="eastAsia" w:ascii="仿宋" w:hAnsi="仿宋" w:eastAsia="仿宋"/>
          <w:color w:val="000000"/>
          <w:szCs w:val="32"/>
        </w:rPr>
        <w:t>。</w:t>
      </w:r>
    </w:p>
    <w:p>
      <w:pPr>
        <w:spacing w:line="560" w:lineRule="exact"/>
        <w:ind w:firstLine="640"/>
        <w:outlineLvl w:val="2"/>
        <w:rPr>
          <w:rFonts w:ascii="仿宋" w:hAnsi="仿宋" w:eastAsia="仿宋"/>
          <w:b/>
          <w:color w:val="000000"/>
          <w:szCs w:val="32"/>
        </w:rPr>
      </w:pPr>
      <w:bookmarkStart w:id="55" w:name="_Toc15377217"/>
      <w:r>
        <w:rPr>
          <w:rFonts w:hint="eastAsia" w:ascii="仿宋" w:hAnsi="仿宋" w:eastAsia="仿宋"/>
          <w:b/>
          <w:color w:val="000000"/>
          <w:szCs w:val="32"/>
        </w:rPr>
        <w:t>（二）“三公”经费财政拨款支出决算具体情况说明</w:t>
      </w:r>
      <w:bookmarkEnd w:id="55"/>
    </w:p>
    <w:p>
      <w:pPr>
        <w:spacing w:line="560" w:lineRule="exact"/>
        <w:ind w:firstLine="640"/>
        <w:rPr>
          <w:rFonts w:ascii="仿宋" w:hAnsi="仿宋" w:eastAsia="仿宋"/>
          <w:color w:val="000000"/>
          <w:szCs w:val="32"/>
        </w:rPr>
      </w:pPr>
      <w:r>
        <w:rPr>
          <w:rFonts w:ascii="仿宋" w:hAnsi="仿宋" w:eastAsia="仿宋"/>
          <w:color w:val="000000"/>
          <w:szCs w:val="32"/>
        </w:rPr>
        <w:drawing>
          <wp:anchor distT="0" distB="0" distL="114300" distR="114300" simplePos="0" relativeHeight="251660288" behindDoc="0" locked="0" layoutInCell="1" allowOverlap="1">
            <wp:simplePos x="0" y="0"/>
            <wp:positionH relativeFrom="column">
              <wp:posOffset>800735</wp:posOffset>
            </wp:positionH>
            <wp:positionV relativeFrom="paragraph">
              <wp:posOffset>1532890</wp:posOffset>
            </wp:positionV>
            <wp:extent cx="3664585" cy="192595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664800" cy="1926000"/>
                    </a:xfrm>
                    <a:prstGeom prst="rect">
                      <a:avLst/>
                    </a:prstGeom>
                    <a:noFill/>
                    <a:ln>
                      <a:noFill/>
                    </a:ln>
                  </pic:spPr>
                </pic:pic>
              </a:graphicData>
            </a:graphic>
          </wp:anchor>
        </w:drawing>
      </w:r>
      <w:r>
        <w:rPr>
          <w:rFonts w:ascii="仿宋" w:hAnsi="仿宋" w:eastAsia="仿宋"/>
          <w:color w:val="000000"/>
          <w:szCs w:val="32"/>
        </w:rPr>
        <w:t>20</w:t>
      </w:r>
      <w:r>
        <w:rPr>
          <w:rFonts w:hint="eastAsia" w:ascii="仿宋" w:hAnsi="仿宋" w:eastAsia="仿宋"/>
          <w:color w:val="000000"/>
          <w:szCs w:val="32"/>
        </w:rPr>
        <w:t>20年“三公”经费财政拨款支出决算中，因公出国（境）费支出决算0万元，占</w:t>
      </w:r>
      <w:r>
        <w:rPr>
          <w:rFonts w:hint="eastAsia" w:ascii="仿宋" w:hAnsi="仿宋" w:eastAsia="仿宋"/>
          <w:color w:val="000000"/>
          <w:szCs w:val="32"/>
          <w:lang w:val="en-US" w:eastAsia="zh-CN"/>
        </w:rPr>
        <w:t>0</w:t>
      </w:r>
      <w:r>
        <w:rPr>
          <w:rFonts w:ascii="仿宋" w:hAnsi="仿宋" w:eastAsia="仿宋"/>
          <w:color w:val="000000"/>
          <w:szCs w:val="32"/>
        </w:rPr>
        <w:t>%</w:t>
      </w:r>
      <w:r>
        <w:rPr>
          <w:rFonts w:hint="eastAsia" w:ascii="仿宋" w:hAnsi="仿宋" w:eastAsia="仿宋"/>
          <w:color w:val="000000"/>
          <w:szCs w:val="32"/>
        </w:rPr>
        <w:t>；公务用车购置及运行维护费支出决算6.</w:t>
      </w:r>
      <w:r>
        <w:rPr>
          <w:rFonts w:hint="eastAsia" w:ascii="仿宋" w:hAnsi="仿宋" w:eastAsia="仿宋"/>
          <w:color w:val="000000"/>
          <w:szCs w:val="32"/>
          <w:lang w:val="en-US" w:eastAsia="zh-CN"/>
        </w:rPr>
        <w:t>94</w:t>
      </w:r>
      <w:r>
        <w:rPr>
          <w:rFonts w:hint="eastAsia" w:ascii="仿宋" w:hAnsi="仿宋" w:eastAsia="仿宋"/>
          <w:color w:val="000000"/>
          <w:szCs w:val="32"/>
        </w:rPr>
        <w:t>万元，占99</w:t>
      </w:r>
      <w:r>
        <w:rPr>
          <w:rFonts w:ascii="仿宋" w:hAnsi="仿宋" w:eastAsia="仿宋"/>
          <w:color w:val="000000"/>
          <w:szCs w:val="32"/>
        </w:rPr>
        <w:t>%</w:t>
      </w:r>
      <w:r>
        <w:rPr>
          <w:rFonts w:hint="eastAsia" w:ascii="仿宋" w:hAnsi="仿宋" w:eastAsia="仿宋"/>
          <w:color w:val="000000"/>
          <w:szCs w:val="32"/>
        </w:rPr>
        <w:t>；公务接待费支出决算3.</w:t>
      </w:r>
      <w:r>
        <w:rPr>
          <w:rFonts w:hint="eastAsia" w:ascii="仿宋" w:hAnsi="仿宋" w:eastAsia="仿宋"/>
          <w:color w:val="000000"/>
          <w:szCs w:val="32"/>
          <w:lang w:val="en-US" w:eastAsia="zh-CN"/>
        </w:rPr>
        <w:t>88</w:t>
      </w:r>
      <w:r>
        <w:rPr>
          <w:rFonts w:hint="eastAsia" w:ascii="仿宋" w:hAnsi="仿宋" w:eastAsia="仿宋"/>
          <w:color w:val="000000"/>
          <w:szCs w:val="32"/>
        </w:rPr>
        <w:t>万元，占100</w:t>
      </w:r>
      <w:r>
        <w:rPr>
          <w:rFonts w:ascii="仿宋" w:hAnsi="仿宋" w:eastAsia="仿宋"/>
          <w:color w:val="000000"/>
          <w:szCs w:val="32"/>
        </w:rPr>
        <w:t>%</w:t>
      </w:r>
      <w:r>
        <w:rPr>
          <w:rFonts w:hint="eastAsia" w:ascii="仿宋" w:hAnsi="仿宋" w:eastAsia="仿宋"/>
          <w:color w:val="000000"/>
          <w:szCs w:val="32"/>
        </w:rPr>
        <w:t>。具体情况如下：</w:t>
      </w:r>
    </w:p>
    <w:p>
      <w:pPr>
        <w:numPr>
          <w:ilvl w:val="0"/>
          <w:numId w:val="2"/>
        </w:numPr>
        <w:spacing w:line="560" w:lineRule="exact"/>
        <w:ind w:firstLine="640"/>
        <w:rPr>
          <w:rStyle w:val="29"/>
          <w:rFonts w:ascii="仿宋" w:hAnsi="仿宋" w:eastAsia="仿宋"/>
          <w:bCs w:val="0"/>
          <w:color w:val="000000"/>
          <w:szCs w:val="32"/>
        </w:rPr>
      </w:pPr>
      <w:r>
        <w:rPr>
          <w:rFonts w:hint="eastAsia" w:ascii="仿宋_GB2312"/>
          <w:b/>
          <w:color w:val="000000"/>
          <w:szCs w:val="32"/>
        </w:rPr>
        <w:t>因公出国（境）经费支出</w:t>
      </w:r>
      <w:r>
        <w:rPr>
          <w:rFonts w:hint="eastAsia" w:ascii="仿宋_GB2312"/>
          <w:color w:val="000000"/>
          <w:szCs w:val="32"/>
        </w:rPr>
        <w:t>0万元，</w:t>
      </w:r>
      <w:r>
        <w:rPr>
          <w:rStyle w:val="29"/>
          <w:rFonts w:hint="eastAsia" w:ascii="仿宋" w:hAnsi="仿宋" w:eastAsia="仿宋"/>
          <w:bCs w:val="0"/>
          <w:color w:val="000000"/>
          <w:szCs w:val="32"/>
        </w:rPr>
        <w:t>完成预算</w:t>
      </w:r>
      <w:r>
        <w:rPr>
          <w:rStyle w:val="29"/>
          <w:rFonts w:hint="eastAsia" w:ascii="仿宋" w:hAnsi="仿宋" w:eastAsia="仿宋"/>
          <w:bCs w:val="0"/>
          <w:color w:val="000000"/>
          <w:szCs w:val="32"/>
          <w:lang w:val="en-US" w:eastAsia="zh-CN"/>
        </w:rPr>
        <w:t>0</w:t>
      </w:r>
      <w:r>
        <w:rPr>
          <w:rStyle w:val="29"/>
          <w:rFonts w:ascii="仿宋" w:hAnsi="仿宋" w:eastAsia="仿宋"/>
          <w:bCs w:val="0"/>
          <w:color w:val="000000"/>
          <w:szCs w:val="32"/>
        </w:rPr>
        <w:t>%</w:t>
      </w:r>
      <w:r>
        <w:rPr>
          <w:rStyle w:val="29"/>
          <w:rFonts w:hint="eastAsia" w:ascii="仿宋" w:hAnsi="仿宋" w:eastAsia="仿宋"/>
          <w:bCs w:val="0"/>
          <w:color w:val="000000"/>
          <w:szCs w:val="32"/>
        </w:rPr>
        <w:t>。</w:t>
      </w:r>
    </w:p>
    <w:p>
      <w:pPr>
        <w:snapToGrid w:val="0"/>
        <w:spacing w:line="520" w:lineRule="exact"/>
        <w:ind w:firstLine="643" w:firstLineChars="200"/>
        <w:rPr>
          <w:rFonts w:hint="eastAsia" w:ascii="仿宋_GB2312" w:hAnsi="仿宋" w:eastAsia="仿宋"/>
          <w:szCs w:val="32"/>
          <w:lang w:val="en-US" w:eastAsia="zh-CN"/>
        </w:rPr>
      </w:pPr>
      <w:r>
        <w:rPr>
          <w:rFonts w:ascii="仿宋_GB2312"/>
          <w:b/>
          <w:szCs w:val="32"/>
        </w:rPr>
        <w:t>2.</w:t>
      </w:r>
      <w:r>
        <w:rPr>
          <w:rFonts w:hint="eastAsia" w:ascii="仿宋_GB2312"/>
          <w:b/>
          <w:szCs w:val="32"/>
        </w:rPr>
        <w:t>公务用车购置及运行维护费支出</w:t>
      </w:r>
      <w:r>
        <w:rPr>
          <w:rFonts w:hint="eastAsia" w:ascii="仿宋_GB2312"/>
          <w:szCs w:val="32"/>
        </w:rPr>
        <w:t>6.94万元,</w:t>
      </w:r>
      <w:r>
        <w:rPr>
          <w:rStyle w:val="29"/>
          <w:rFonts w:hint="eastAsia" w:ascii="仿宋" w:hAnsi="仿宋" w:eastAsia="仿宋"/>
          <w:bCs w:val="0"/>
          <w:szCs w:val="32"/>
        </w:rPr>
        <w:t>完成预算99</w:t>
      </w:r>
      <w:r>
        <w:rPr>
          <w:rStyle w:val="29"/>
          <w:rFonts w:ascii="仿宋" w:hAnsi="仿宋" w:eastAsia="仿宋"/>
          <w:bCs w:val="0"/>
          <w:szCs w:val="32"/>
        </w:rPr>
        <w:t>%</w:t>
      </w:r>
      <w:r>
        <w:rPr>
          <w:rStyle w:val="29"/>
          <w:rFonts w:hint="eastAsia" w:ascii="仿宋" w:hAnsi="仿宋" w:eastAsia="仿宋"/>
          <w:bCs w:val="0"/>
          <w:szCs w:val="32"/>
        </w:rPr>
        <w:t>。</w:t>
      </w:r>
      <w:r>
        <w:rPr>
          <w:rFonts w:hint="eastAsia" w:ascii="仿宋_GB2312"/>
          <w:szCs w:val="32"/>
        </w:rPr>
        <w:t>公务用车购置及运行维护费支出决算比</w:t>
      </w:r>
      <w:r>
        <w:rPr>
          <w:rFonts w:ascii="仿宋_GB2312"/>
          <w:szCs w:val="32"/>
        </w:rPr>
        <w:t>201</w:t>
      </w:r>
      <w:r>
        <w:rPr>
          <w:rFonts w:hint="eastAsia" w:ascii="仿宋_GB2312"/>
          <w:szCs w:val="32"/>
        </w:rPr>
        <w:t>9年减少2.34万元，下降25</w:t>
      </w:r>
      <w:r>
        <w:rPr>
          <w:rFonts w:ascii="仿宋_GB2312"/>
          <w:szCs w:val="32"/>
        </w:rPr>
        <w:t>%</w:t>
      </w:r>
      <w:r>
        <w:rPr>
          <w:rFonts w:hint="eastAsia" w:ascii="仿宋_GB2312"/>
          <w:szCs w:val="32"/>
        </w:rPr>
        <w:t>。</w:t>
      </w:r>
      <w:r>
        <w:rPr>
          <w:rFonts w:hint="eastAsia" w:ascii="仿宋" w:hAnsi="仿宋" w:eastAsia="仿宋"/>
          <w:color w:val="000000"/>
          <w:szCs w:val="32"/>
        </w:rPr>
        <w:t>主要变动原因是</w:t>
      </w:r>
      <w:r>
        <w:rPr>
          <w:rFonts w:hint="eastAsia" w:ascii="仿宋" w:hAnsi="仿宋" w:eastAsia="仿宋"/>
          <w:color w:val="000000"/>
          <w:szCs w:val="32"/>
          <w:lang w:eastAsia="zh-CN"/>
        </w:rPr>
        <w:t>疫情期间影响，再加上严格按照要求用车，因此比上年少。</w:t>
      </w:r>
    </w:p>
    <w:p>
      <w:pPr>
        <w:spacing w:line="560" w:lineRule="exact"/>
        <w:ind w:firstLine="640"/>
        <w:rPr>
          <w:rFonts w:ascii="仿宋_GB2312"/>
          <w:szCs w:val="32"/>
        </w:rPr>
      </w:pPr>
    </w:p>
    <w:p>
      <w:pPr>
        <w:spacing w:line="560" w:lineRule="exact"/>
        <w:ind w:firstLine="640"/>
        <w:rPr>
          <w:rFonts w:ascii="仿宋_GB2312"/>
          <w:color w:val="000000"/>
          <w:szCs w:val="32"/>
        </w:rPr>
      </w:pPr>
      <w:r>
        <w:rPr>
          <w:rFonts w:hint="eastAsia" w:ascii="仿宋_GB2312"/>
          <w:color w:val="000000"/>
          <w:szCs w:val="32"/>
        </w:rPr>
        <w:t>其中：</w:t>
      </w:r>
      <w:r>
        <w:rPr>
          <w:rFonts w:hint="eastAsia" w:ascii="仿宋_GB2312"/>
          <w:b/>
          <w:color w:val="000000"/>
          <w:szCs w:val="32"/>
        </w:rPr>
        <w:t>公务用车购置支出</w:t>
      </w:r>
      <w:r>
        <w:rPr>
          <w:rFonts w:hint="eastAsia" w:ascii="仿宋_GB2312"/>
          <w:color w:val="000000"/>
          <w:szCs w:val="32"/>
        </w:rPr>
        <w:t>0万元。全年按规定更新购置公务用车0辆，金额0</w:t>
      </w:r>
      <w:r>
        <w:rPr>
          <w:rFonts w:ascii="仿宋_GB2312"/>
          <w:color w:val="000000"/>
          <w:szCs w:val="32"/>
        </w:rPr>
        <w:t>元。</w:t>
      </w:r>
      <w:r>
        <w:rPr>
          <w:rFonts w:hint="eastAsia" w:ascii="仿宋_GB2312"/>
          <w:color w:val="000000"/>
          <w:szCs w:val="32"/>
        </w:rPr>
        <w:t>截至</w:t>
      </w:r>
      <w:r>
        <w:rPr>
          <w:rFonts w:ascii="仿宋_GB2312"/>
          <w:color w:val="000000"/>
          <w:szCs w:val="32"/>
        </w:rPr>
        <w:t>20</w:t>
      </w:r>
      <w:r>
        <w:rPr>
          <w:rFonts w:hint="eastAsia" w:ascii="仿宋_GB2312"/>
          <w:color w:val="000000"/>
          <w:szCs w:val="32"/>
        </w:rPr>
        <w:t>20年</w:t>
      </w:r>
      <w:r>
        <w:rPr>
          <w:rFonts w:ascii="仿宋_GB2312"/>
          <w:color w:val="000000"/>
          <w:szCs w:val="32"/>
        </w:rPr>
        <w:t>12</w:t>
      </w:r>
      <w:r>
        <w:rPr>
          <w:rFonts w:hint="eastAsia" w:ascii="仿宋_GB2312"/>
          <w:color w:val="000000"/>
          <w:szCs w:val="32"/>
        </w:rPr>
        <w:t>月底，单位共有公务用车1辆，其中：主要领导干部用车1辆、机要通信用车0辆、应急保障用车0辆、执法执勤用车0辆。</w:t>
      </w:r>
    </w:p>
    <w:p>
      <w:pPr>
        <w:spacing w:line="560" w:lineRule="exact"/>
        <w:ind w:firstLine="640"/>
        <w:rPr>
          <w:rFonts w:ascii="仿宋_GB2312"/>
          <w:color w:val="000000"/>
          <w:szCs w:val="32"/>
        </w:rPr>
      </w:pPr>
      <w:r>
        <w:rPr>
          <w:rFonts w:hint="eastAsia" w:ascii="仿宋_GB2312"/>
          <w:b/>
          <w:color w:val="000000"/>
          <w:szCs w:val="32"/>
        </w:rPr>
        <w:t>公务用车运行维护费支出</w:t>
      </w:r>
      <w:r>
        <w:rPr>
          <w:rFonts w:hint="eastAsia" w:ascii="仿宋_GB2312"/>
          <w:color w:val="000000"/>
          <w:szCs w:val="32"/>
        </w:rPr>
        <w:t>6.94万元。主要用于领导干部用车、机要通信用车等所需的公务用车燃料费、维修费、过路过桥费、保险费等支出。</w:t>
      </w:r>
    </w:p>
    <w:p>
      <w:pPr>
        <w:spacing w:line="560" w:lineRule="exact"/>
        <w:ind w:firstLine="643" w:firstLineChars="200"/>
        <w:rPr>
          <w:rFonts w:hint="eastAsia" w:ascii="仿宋_GB2312" w:eastAsia="仿宋_GB2312"/>
          <w:szCs w:val="32"/>
          <w:lang w:eastAsia="zh-CN"/>
        </w:rPr>
      </w:pPr>
      <w:r>
        <w:rPr>
          <w:rFonts w:ascii="仿宋_GB2312"/>
          <w:b/>
          <w:color w:val="000000"/>
          <w:szCs w:val="32"/>
        </w:rPr>
        <w:t>3.</w:t>
      </w:r>
      <w:r>
        <w:rPr>
          <w:rFonts w:hint="eastAsia" w:ascii="仿宋_GB2312"/>
          <w:b/>
          <w:color w:val="000000"/>
          <w:szCs w:val="32"/>
        </w:rPr>
        <w:t>公务接待费支出</w:t>
      </w:r>
      <w:r>
        <w:rPr>
          <w:rFonts w:hint="eastAsia" w:ascii="仿宋_GB2312"/>
          <w:color w:val="000000"/>
          <w:szCs w:val="32"/>
        </w:rPr>
        <w:t>3.</w:t>
      </w:r>
      <w:r>
        <w:rPr>
          <w:rFonts w:hint="eastAsia" w:ascii="仿宋_GB2312"/>
          <w:color w:val="000000"/>
          <w:szCs w:val="32"/>
          <w:lang w:val="en-US" w:eastAsia="zh-CN"/>
        </w:rPr>
        <w:t>88</w:t>
      </w:r>
      <w:r>
        <w:rPr>
          <w:rFonts w:hint="eastAsia" w:ascii="仿宋_GB2312"/>
          <w:color w:val="000000"/>
          <w:szCs w:val="32"/>
        </w:rPr>
        <w:t>万元，</w:t>
      </w:r>
      <w:r>
        <w:rPr>
          <w:rStyle w:val="29"/>
          <w:rFonts w:hint="eastAsia" w:ascii="仿宋" w:hAnsi="仿宋" w:eastAsia="仿宋"/>
          <w:bCs w:val="0"/>
          <w:color w:val="000000"/>
          <w:szCs w:val="32"/>
        </w:rPr>
        <w:t>完成预算100</w:t>
      </w:r>
      <w:r>
        <w:rPr>
          <w:rStyle w:val="29"/>
          <w:rFonts w:ascii="仿宋" w:hAnsi="仿宋" w:eastAsia="仿宋"/>
          <w:bCs w:val="0"/>
          <w:color w:val="000000"/>
          <w:szCs w:val="32"/>
        </w:rPr>
        <w:t>%</w:t>
      </w:r>
      <w:r>
        <w:rPr>
          <w:rStyle w:val="29"/>
          <w:rFonts w:hint="eastAsia" w:ascii="仿宋" w:hAnsi="仿宋" w:eastAsia="仿宋"/>
          <w:bCs w:val="0"/>
          <w:color w:val="000000"/>
          <w:szCs w:val="32"/>
        </w:rPr>
        <w:t>。</w:t>
      </w:r>
      <w:r>
        <w:rPr>
          <w:rFonts w:hint="eastAsia" w:ascii="仿宋_GB2312"/>
          <w:color w:val="000000"/>
          <w:szCs w:val="32"/>
        </w:rPr>
        <w:t>公务接待费支出决算比</w:t>
      </w:r>
      <w:r>
        <w:rPr>
          <w:rFonts w:ascii="仿宋_GB2312"/>
          <w:color w:val="000000"/>
          <w:szCs w:val="32"/>
        </w:rPr>
        <w:t>201</w:t>
      </w:r>
      <w:r>
        <w:rPr>
          <w:rFonts w:hint="eastAsia" w:ascii="仿宋_GB2312"/>
          <w:color w:val="000000"/>
          <w:szCs w:val="32"/>
        </w:rPr>
        <w:t>9年减少0.27万元，下降6</w:t>
      </w:r>
      <w:r>
        <w:rPr>
          <w:rFonts w:ascii="仿宋_GB2312"/>
          <w:color w:val="000000"/>
          <w:szCs w:val="32"/>
        </w:rPr>
        <w:t>%</w:t>
      </w:r>
      <w:r>
        <w:rPr>
          <w:rFonts w:hint="eastAsia" w:ascii="仿宋_GB2312"/>
          <w:color w:val="000000"/>
          <w:szCs w:val="32"/>
          <w:lang w:eastAsia="zh-CN"/>
        </w:rPr>
        <w:t>。</w:t>
      </w:r>
      <w:r>
        <w:rPr>
          <w:rFonts w:hint="eastAsia" w:ascii="仿宋_GB2312"/>
          <w:color w:val="000000"/>
          <w:szCs w:val="32"/>
        </w:rPr>
        <w:t>接待</w:t>
      </w:r>
      <w:r>
        <w:rPr>
          <w:rFonts w:hint="eastAsia" w:ascii="仿宋_GB2312"/>
          <w:color w:val="000000"/>
          <w:szCs w:val="32"/>
          <w:lang w:val="en-US" w:eastAsia="zh-CN"/>
        </w:rPr>
        <w:t>38</w:t>
      </w:r>
      <w:r>
        <w:rPr>
          <w:rFonts w:hint="eastAsia" w:ascii="仿宋_GB2312"/>
          <w:color w:val="000000"/>
          <w:szCs w:val="32"/>
        </w:rPr>
        <w:t>批次</w:t>
      </w:r>
      <w:r>
        <w:rPr>
          <w:rFonts w:hint="eastAsia" w:ascii="仿宋_GB2312"/>
          <w:color w:val="000000"/>
          <w:szCs w:val="32"/>
          <w:lang w:eastAsia="zh-CN"/>
        </w:rPr>
        <w:t>，</w:t>
      </w:r>
      <w:r>
        <w:rPr>
          <w:rFonts w:hint="eastAsia" w:ascii="仿宋_GB2312"/>
          <w:color w:val="000000"/>
          <w:szCs w:val="32"/>
          <w:lang w:val="en-US" w:eastAsia="zh-CN"/>
        </w:rPr>
        <w:t>392</w:t>
      </w:r>
      <w:r>
        <w:rPr>
          <w:rFonts w:hint="eastAsia" w:ascii="仿宋_GB2312"/>
          <w:color w:val="000000"/>
          <w:szCs w:val="32"/>
        </w:rPr>
        <w:t>人，共计支出</w:t>
      </w:r>
      <w:r>
        <w:rPr>
          <w:rFonts w:hint="eastAsia" w:ascii="仿宋_GB2312"/>
          <w:color w:val="000000"/>
          <w:szCs w:val="32"/>
          <w:lang w:val="en-US" w:eastAsia="zh-CN"/>
        </w:rPr>
        <w:t>3.97</w:t>
      </w:r>
      <w:r>
        <w:rPr>
          <w:rFonts w:hint="eastAsia" w:ascii="仿宋_GB2312"/>
          <w:color w:val="000000"/>
          <w:szCs w:val="32"/>
        </w:rPr>
        <w:t>万元</w:t>
      </w:r>
      <w:r>
        <w:rPr>
          <w:rFonts w:hint="eastAsia" w:ascii="仿宋" w:hAnsi="仿宋" w:eastAsia="仿宋"/>
          <w:color w:val="000000"/>
          <w:szCs w:val="32"/>
          <w:lang w:eastAsia="zh-CN"/>
        </w:rPr>
        <w:t>（</w:t>
      </w:r>
      <w:r>
        <w:rPr>
          <w:rFonts w:hint="eastAsia" w:ascii="仿宋_GB2312"/>
          <w:color w:val="000000"/>
          <w:szCs w:val="32"/>
        </w:rPr>
        <w:t>其中：</w:t>
      </w:r>
      <w:r>
        <w:rPr>
          <w:rFonts w:hint="eastAsia" w:ascii="仿宋" w:hAnsi="仿宋" w:eastAsia="仿宋"/>
          <w:b/>
          <w:color w:val="000000"/>
          <w:szCs w:val="32"/>
        </w:rPr>
        <w:t>国内公务接待支出</w:t>
      </w:r>
      <w:r>
        <w:rPr>
          <w:rFonts w:hint="eastAsia" w:ascii="仿宋" w:hAnsi="仿宋" w:eastAsia="仿宋"/>
          <w:color w:val="000000"/>
          <w:szCs w:val="32"/>
        </w:rPr>
        <w:t>3.97</w:t>
      </w:r>
      <w:r>
        <w:rPr>
          <w:rFonts w:hint="eastAsia" w:ascii="仿宋_GB2312"/>
          <w:color w:val="000000"/>
          <w:szCs w:val="32"/>
        </w:rPr>
        <w:t>万元，主要用于执行公务、开展业</w:t>
      </w:r>
      <w:r>
        <w:rPr>
          <w:rFonts w:hint="eastAsia" w:ascii="仿宋_GB2312"/>
          <w:szCs w:val="32"/>
        </w:rPr>
        <w:t>务活动开支的交通费、住宿费、用餐费等。具体内容包括：接待省扫黑办督导工作1490元；接待雅安市人大2463元；接待省政法委620元；接待省扫黑办、省检察院调研扫黑除恶1192元等</w:t>
      </w:r>
      <w:r>
        <w:rPr>
          <w:rFonts w:hint="eastAsia" w:ascii="仿宋_GB2312"/>
          <w:szCs w:val="32"/>
          <w:lang w:eastAsia="zh-CN"/>
        </w:rPr>
        <w:t>），</w:t>
      </w:r>
      <w:r>
        <w:rPr>
          <w:rFonts w:hint="eastAsia" w:ascii="仿宋" w:hAnsi="仿宋" w:eastAsia="仿宋"/>
          <w:color w:val="000000"/>
          <w:szCs w:val="32"/>
        </w:rPr>
        <w:t>主要变动原因是</w:t>
      </w:r>
      <w:r>
        <w:rPr>
          <w:rFonts w:hint="eastAsia" w:ascii="仿宋" w:hAnsi="仿宋" w:eastAsia="仿宋"/>
          <w:color w:val="000000"/>
          <w:szCs w:val="32"/>
          <w:lang w:eastAsia="zh-CN"/>
        </w:rPr>
        <w:t>受疫情影响。</w:t>
      </w:r>
    </w:p>
    <w:p>
      <w:pPr>
        <w:spacing w:line="560" w:lineRule="exact"/>
        <w:ind w:firstLine="643" w:firstLineChars="200"/>
        <w:rPr>
          <w:rFonts w:ascii="仿宋_GB2312"/>
          <w:color w:val="000000"/>
          <w:szCs w:val="32"/>
        </w:rPr>
      </w:pPr>
      <w:r>
        <w:rPr>
          <w:rFonts w:hint="eastAsia" w:ascii="仿宋" w:hAnsi="仿宋" w:eastAsia="仿宋"/>
          <w:b/>
          <w:color w:val="000000"/>
          <w:szCs w:val="32"/>
        </w:rPr>
        <w:t>外事接待支出</w:t>
      </w:r>
      <w:r>
        <w:rPr>
          <w:rFonts w:hint="eastAsia" w:ascii="仿宋" w:hAnsi="仿宋" w:eastAsia="仿宋"/>
          <w:color w:val="000000"/>
          <w:szCs w:val="32"/>
        </w:rPr>
        <w:t>0</w:t>
      </w:r>
      <w:r>
        <w:rPr>
          <w:rFonts w:hint="eastAsia" w:ascii="仿宋_GB2312"/>
          <w:color w:val="000000"/>
          <w:szCs w:val="32"/>
        </w:rPr>
        <w:t>万元，外事接待0批次，0人，共计支出0万元。</w:t>
      </w:r>
      <w:r>
        <w:rPr>
          <w:rFonts w:ascii="仿宋_GB2312"/>
          <w:color w:val="000000"/>
          <w:szCs w:val="32"/>
        </w:rPr>
        <w:t xml:space="preserve"> </w:t>
      </w:r>
    </w:p>
    <w:p>
      <w:pPr>
        <w:spacing w:line="560" w:lineRule="exact"/>
        <w:ind w:firstLine="640"/>
        <w:outlineLvl w:val="1"/>
        <w:rPr>
          <w:rFonts w:ascii="黑体" w:eastAsia="黑体"/>
          <w:color w:val="000000"/>
          <w:szCs w:val="32"/>
        </w:rPr>
      </w:pPr>
      <w:bookmarkStart w:id="56" w:name="_Toc15396610"/>
      <w:bookmarkStart w:id="57" w:name="_Toc15377218"/>
    </w:p>
    <w:p>
      <w:pPr>
        <w:spacing w:line="560" w:lineRule="exact"/>
        <w:ind w:firstLine="640"/>
        <w:outlineLvl w:val="1"/>
        <w:rPr>
          <w:rStyle w:val="51"/>
          <w:rFonts w:ascii="黑体" w:hAnsi="黑体" w:eastAsia="黑体"/>
        </w:rPr>
      </w:pPr>
      <w:bookmarkStart w:id="58" w:name="_Toc49975936"/>
      <w:bookmarkStart w:id="59" w:name="_Toc49976123"/>
      <w:r>
        <w:rPr>
          <w:rFonts w:hint="eastAsia" w:ascii="黑体" w:eastAsia="黑体"/>
          <w:color w:val="000000"/>
          <w:szCs w:val="32"/>
        </w:rPr>
        <w:t>八、</w:t>
      </w:r>
      <w:r>
        <w:rPr>
          <w:rStyle w:val="51"/>
          <w:rFonts w:hint="eastAsia" w:ascii="黑体" w:hAnsi="黑体" w:eastAsia="黑体"/>
        </w:rPr>
        <w:t>政府性基金预算支出决算情况说明</w:t>
      </w:r>
      <w:bookmarkEnd w:id="56"/>
      <w:bookmarkEnd w:id="57"/>
      <w:bookmarkEnd w:id="58"/>
      <w:bookmarkEnd w:id="59"/>
    </w:p>
    <w:p>
      <w:pPr>
        <w:spacing w:line="560" w:lineRule="exact"/>
        <w:ind w:firstLine="640"/>
        <w:rPr>
          <w:rFonts w:ascii="仿宋_GB2312"/>
          <w:color w:val="000000"/>
          <w:szCs w:val="32"/>
        </w:rPr>
      </w:pPr>
      <w:r>
        <w:rPr>
          <w:rFonts w:ascii="仿宋_GB2312"/>
          <w:color w:val="000000"/>
          <w:szCs w:val="32"/>
        </w:rPr>
        <w:t>20</w:t>
      </w:r>
      <w:r>
        <w:rPr>
          <w:rFonts w:hint="eastAsia" w:ascii="仿宋_GB2312"/>
          <w:color w:val="000000"/>
          <w:szCs w:val="32"/>
        </w:rPr>
        <w:t>20年政府性基金预算拨款支出0万元。</w:t>
      </w:r>
    </w:p>
    <w:p>
      <w:pPr>
        <w:spacing w:line="560" w:lineRule="exact"/>
        <w:ind w:firstLine="640"/>
        <w:rPr>
          <w:rFonts w:ascii="仿宋_GB2312"/>
          <w:color w:val="000000"/>
          <w:szCs w:val="32"/>
        </w:rPr>
      </w:pPr>
    </w:p>
    <w:p>
      <w:pPr>
        <w:numPr>
          <w:ilvl w:val="0"/>
          <w:numId w:val="3"/>
        </w:numPr>
        <w:spacing w:line="560" w:lineRule="exact"/>
        <w:ind w:firstLine="640"/>
        <w:outlineLvl w:val="1"/>
        <w:rPr>
          <w:rStyle w:val="51"/>
          <w:rFonts w:ascii="黑体" w:hAnsi="黑体" w:eastAsia="黑体"/>
          <w:b w:val="0"/>
        </w:rPr>
      </w:pPr>
      <w:bookmarkStart w:id="60" w:name="_Toc15377219"/>
      <w:bookmarkStart w:id="61" w:name="_Toc15396611"/>
      <w:bookmarkStart w:id="62" w:name="_Toc49975937"/>
      <w:bookmarkStart w:id="63" w:name="_Toc49976124"/>
      <w:r>
        <w:rPr>
          <w:rStyle w:val="51"/>
          <w:rFonts w:hint="eastAsia" w:ascii="黑体" w:hAnsi="黑体" w:eastAsia="黑体"/>
        </w:rPr>
        <w:t>国有资本经营预算支出决算情况说明</w:t>
      </w:r>
      <w:bookmarkEnd w:id="60"/>
      <w:bookmarkEnd w:id="61"/>
      <w:bookmarkEnd w:id="62"/>
      <w:bookmarkEnd w:id="63"/>
    </w:p>
    <w:p>
      <w:pPr>
        <w:spacing w:line="560" w:lineRule="exact"/>
        <w:ind w:firstLine="640"/>
        <w:rPr>
          <w:rFonts w:ascii="仿宋_GB2312"/>
          <w:color w:val="000000"/>
          <w:szCs w:val="32"/>
        </w:rPr>
      </w:pPr>
      <w:r>
        <w:rPr>
          <w:rFonts w:ascii="仿宋_GB2312"/>
          <w:color w:val="000000"/>
          <w:szCs w:val="32"/>
        </w:rPr>
        <w:t>20</w:t>
      </w:r>
      <w:r>
        <w:rPr>
          <w:rFonts w:hint="eastAsia" w:ascii="仿宋_GB2312"/>
          <w:color w:val="000000"/>
          <w:szCs w:val="32"/>
        </w:rPr>
        <w:t>20年国有资本经营预算拨款支出0万元。</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800" w:firstLineChars="250"/>
        <w:outlineLvl w:val="1"/>
        <w:rPr>
          <w:rStyle w:val="51"/>
          <w:rFonts w:ascii="黑体" w:hAnsi="黑体" w:eastAsia="黑体"/>
        </w:rPr>
      </w:pPr>
      <w:bookmarkStart w:id="64" w:name="_Toc15396612"/>
      <w:bookmarkStart w:id="65" w:name="_Toc15377221"/>
      <w:bookmarkStart w:id="66" w:name="_Toc49975938"/>
      <w:bookmarkStart w:id="67" w:name="_Toc49976125"/>
      <w:r>
        <w:rPr>
          <w:rFonts w:hint="eastAsia" w:ascii="黑体" w:hAnsi="黑体" w:eastAsia="黑体"/>
          <w:color w:val="000000"/>
          <w:szCs w:val="32"/>
        </w:rPr>
        <w:t>十</w:t>
      </w:r>
      <w:r>
        <w:rPr>
          <w:rStyle w:val="51"/>
          <w:rFonts w:hint="eastAsia" w:ascii="黑体" w:hAnsi="黑体" w:eastAsia="黑体"/>
        </w:rPr>
        <w:t>、其他重要事项的情况说明</w:t>
      </w:r>
      <w:bookmarkEnd w:id="64"/>
      <w:bookmarkEnd w:id="65"/>
      <w:bookmarkEnd w:id="66"/>
      <w:bookmarkEnd w:id="67"/>
    </w:p>
    <w:p>
      <w:pPr>
        <w:spacing w:line="560" w:lineRule="exact"/>
        <w:ind w:firstLine="643" w:firstLineChars="200"/>
        <w:outlineLvl w:val="2"/>
        <w:rPr>
          <w:rFonts w:ascii="仿宋" w:hAnsi="仿宋" w:eastAsia="仿宋"/>
          <w:color w:val="000000"/>
          <w:szCs w:val="32"/>
        </w:rPr>
      </w:pPr>
      <w:bookmarkStart w:id="68" w:name="_Toc15377222"/>
      <w:r>
        <w:rPr>
          <w:rFonts w:hint="eastAsia" w:ascii="仿宋" w:hAnsi="仿宋" w:eastAsia="仿宋"/>
          <w:b/>
          <w:color w:val="000000"/>
          <w:szCs w:val="32"/>
        </w:rPr>
        <w:t>（一）机关运行经费支出情况</w:t>
      </w:r>
      <w:bookmarkEnd w:id="68"/>
    </w:p>
    <w:p>
      <w:pPr>
        <w:spacing w:line="560" w:lineRule="exact"/>
        <w:ind w:firstLine="640" w:firstLineChars="200"/>
        <w:rPr>
          <w:rFonts w:ascii="仿宋_GB2312"/>
          <w:color w:val="000000"/>
          <w:szCs w:val="32"/>
        </w:rPr>
      </w:pPr>
      <w:r>
        <w:rPr>
          <w:rFonts w:ascii="仿宋_GB2312"/>
          <w:color w:val="000000"/>
          <w:szCs w:val="32"/>
        </w:rPr>
        <w:t>20</w:t>
      </w:r>
      <w:r>
        <w:rPr>
          <w:rFonts w:hint="eastAsia" w:ascii="仿宋_GB2312"/>
          <w:color w:val="000000"/>
          <w:szCs w:val="32"/>
        </w:rPr>
        <w:t>20年，市委政法委机关运行经费支出538.79万元，比</w:t>
      </w:r>
      <w:r>
        <w:rPr>
          <w:rFonts w:ascii="仿宋_GB2312"/>
          <w:color w:val="000000"/>
          <w:szCs w:val="32"/>
        </w:rPr>
        <w:t>201</w:t>
      </w:r>
      <w:r>
        <w:rPr>
          <w:rFonts w:hint="eastAsia" w:ascii="仿宋_GB2312"/>
          <w:color w:val="000000"/>
          <w:szCs w:val="32"/>
          <w:lang w:val="en-US" w:eastAsia="zh-CN"/>
        </w:rPr>
        <w:t>9</w:t>
      </w:r>
      <w:r>
        <w:rPr>
          <w:rFonts w:hint="eastAsia" w:ascii="仿宋_GB2312"/>
          <w:color w:val="000000"/>
          <w:szCs w:val="32"/>
        </w:rPr>
        <w:t>年增加49.35万元，增长10</w:t>
      </w:r>
      <w:r>
        <w:rPr>
          <w:rFonts w:ascii="仿宋_GB2312"/>
          <w:color w:val="000000"/>
          <w:szCs w:val="32"/>
        </w:rPr>
        <w:t>%</w:t>
      </w:r>
      <w:r>
        <w:rPr>
          <w:rFonts w:hint="eastAsia" w:ascii="仿宋_GB2312"/>
          <w:color w:val="000000"/>
          <w:szCs w:val="32"/>
        </w:rPr>
        <w:t>。</w:t>
      </w:r>
    </w:p>
    <w:p>
      <w:pPr>
        <w:autoSpaceDE w:val="0"/>
        <w:autoSpaceDN w:val="0"/>
        <w:adjustRightInd w:val="0"/>
        <w:spacing w:line="560" w:lineRule="exact"/>
        <w:ind w:firstLine="643" w:firstLineChars="200"/>
        <w:jc w:val="left"/>
        <w:outlineLvl w:val="2"/>
        <w:rPr>
          <w:rFonts w:ascii="仿宋" w:hAnsi="仿宋" w:eastAsia="仿宋"/>
          <w:b/>
          <w:color w:val="000000"/>
          <w:szCs w:val="32"/>
        </w:rPr>
      </w:pPr>
      <w:bookmarkStart w:id="69" w:name="_Toc15377223"/>
      <w:r>
        <w:rPr>
          <w:rFonts w:hint="eastAsia" w:ascii="仿宋" w:hAnsi="仿宋" w:eastAsia="仿宋"/>
          <w:b/>
          <w:color w:val="000000"/>
          <w:szCs w:val="32"/>
        </w:rPr>
        <w:t>（二）政府采购支出情况</w:t>
      </w:r>
      <w:bookmarkEnd w:id="69"/>
    </w:p>
    <w:p>
      <w:pPr>
        <w:spacing w:line="560" w:lineRule="exact"/>
        <w:ind w:firstLine="640" w:firstLineChars="200"/>
        <w:rPr>
          <w:rFonts w:ascii="仿宋_GB2312"/>
          <w:color w:val="000000"/>
          <w:szCs w:val="32"/>
        </w:rPr>
      </w:pPr>
      <w:r>
        <w:rPr>
          <w:rFonts w:ascii="仿宋_GB2312"/>
          <w:color w:val="000000"/>
          <w:szCs w:val="32"/>
        </w:rPr>
        <w:t>20</w:t>
      </w:r>
      <w:r>
        <w:rPr>
          <w:rFonts w:hint="eastAsia" w:ascii="仿宋_GB2312"/>
          <w:color w:val="000000"/>
          <w:szCs w:val="32"/>
        </w:rPr>
        <w:t>20年，市委政法委员会政府采购支出总额0万元，其中：政府采购货物支出0万元、政府采购工程支出0万元、政府采购服务支出0万元。主要用于日常办公、项目建设。授予中小企业合同金额0万元，占政府采购支出总额的0</w:t>
      </w:r>
      <w:r>
        <w:rPr>
          <w:rFonts w:ascii="仿宋_GB2312"/>
          <w:color w:val="000000"/>
          <w:szCs w:val="32"/>
        </w:rPr>
        <w:t>%</w:t>
      </w:r>
      <w:r>
        <w:rPr>
          <w:rFonts w:hint="eastAsia" w:ascii="仿宋_GB2312"/>
          <w:color w:val="000000"/>
          <w:szCs w:val="32"/>
        </w:rPr>
        <w:t>，其中：授予小微企业合同金额0万元，占政府采购支出总额的0</w:t>
      </w:r>
      <w:r>
        <w:rPr>
          <w:rFonts w:ascii="仿宋_GB2312"/>
          <w:color w:val="000000"/>
          <w:szCs w:val="32"/>
        </w:rPr>
        <w:t>%</w:t>
      </w:r>
      <w:r>
        <w:rPr>
          <w:rFonts w:hint="eastAsia" w:ascii="仿宋_GB2312"/>
          <w:color w:val="000000"/>
          <w:szCs w:val="32"/>
        </w:rPr>
        <w:t>。</w:t>
      </w:r>
    </w:p>
    <w:p>
      <w:pPr>
        <w:spacing w:line="560" w:lineRule="exact"/>
        <w:ind w:firstLine="643" w:firstLineChars="200"/>
        <w:rPr>
          <w:rFonts w:ascii="仿宋" w:hAnsi="仿宋" w:eastAsia="仿宋"/>
          <w:b/>
          <w:color w:val="FF0000"/>
          <w:szCs w:val="32"/>
        </w:rPr>
      </w:pPr>
    </w:p>
    <w:p>
      <w:pPr>
        <w:autoSpaceDE w:val="0"/>
        <w:autoSpaceDN w:val="0"/>
        <w:adjustRightInd w:val="0"/>
        <w:spacing w:line="560" w:lineRule="exact"/>
        <w:ind w:firstLine="643" w:firstLineChars="200"/>
        <w:jc w:val="left"/>
        <w:outlineLvl w:val="2"/>
        <w:rPr>
          <w:rFonts w:ascii="仿宋" w:hAnsi="仿宋" w:eastAsia="仿宋"/>
          <w:b/>
          <w:color w:val="000000"/>
          <w:szCs w:val="32"/>
        </w:rPr>
      </w:pPr>
      <w:bookmarkStart w:id="70" w:name="_Toc15377224"/>
      <w:r>
        <w:rPr>
          <w:rFonts w:hint="eastAsia" w:ascii="仿宋" w:hAnsi="仿宋" w:eastAsia="仿宋"/>
          <w:b/>
          <w:color w:val="000000"/>
          <w:szCs w:val="32"/>
        </w:rPr>
        <w:t>（三）国有资产占有使用情况</w:t>
      </w:r>
      <w:bookmarkEnd w:id="70"/>
    </w:p>
    <w:p>
      <w:pPr>
        <w:autoSpaceDE w:val="0"/>
        <w:autoSpaceDN w:val="0"/>
        <w:adjustRightInd w:val="0"/>
        <w:spacing w:line="560" w:lineRule="exact"/>
        <w:ind w:firstLine="640" w:firstLineChars="200"/>
        <w:jc w:val="left"/>
        <w:rPr>
          <w:rFonts w:ascii="仿宋" w:hAnsi="仿宋" w:eastAsia="仿宋"/>
          <w:b/>
          <w:color w:val="FF0000"/>
          <w:szCs w:val="32"/>
        </w:rPr>
      </w:pPr>
      <w:r>
        <w:rPr>
          <w:rFonts w:hint="eastAsia" w:ascii="仿宋_GB2312"/>
          <w:color w:val="000000"/>
          <w:szCs w:val="32"/>
        </w:rPr>
        <w:t>截至</w:t>
      </w:r>
      <w:r>
        <w:rPr>
          <w:rFonts w:ascii="仿宋_GB2312"/>
          <w:color w:val="000000"/>
          <w:szCs w:val="32"/>
        </w:rPr>
        <w:t>20</w:t>
      </w:r>
      <w:r>
        <w:rPr>
          <w:rFonts w:hint="eastAsia" w:ascii="仿宋_GB2312"/>
          <w:color w:val="000000"/>
          <w:szCs w:val="32"/>
        </w:rPr>
        <w:t>20年</w:t>
      </w:r>
      <w:r>
        <w:rPr>
          <w:rFonts w:ascii="仿宋_GB2312"/>
          <w:color w:val="000000"/>
          <w:szCs w:val="32"/>
        </w:rPr>
        <w:t>12</w:t>
      </w:r>
      <w:r>
        <w:rPr>
          <w:rFonts w:hint="eastAsia" w:ascii="仿宋_GB2312"/>
          <w:color w:val="000000"/>
          <w:szCs w:val="32"/>
        </w:rPr>
        <w:t>月</w:t>
      </w:r>
      <w:r>
        <w:rPr>
          <w:rFonts w:ascii="仿宋_GB2312"/>
          <w:color w:val="000000"/>
          <w:szCs w:val="32"/>
        </w:rPr>
        <w:t>31</w:t>
      </w:r>
      <w:r>
        <w:rPr>
          <w:rFonts w:hint="eastAsia" w:ascii="仿宋_GB2312"/>
          <w:color w:val="000000"/>
          <w:szCs w:val="32"/>
        </w:rPr>
        <w:t>日，市委政法委共有车辆1辆，其中：主要领导干部用车1辆、机要通信用车0辆，单价</w:t>
      </w:r>
      <w:r>
        <w:rPr>
          <w:rFonts w:ascii="仿宋_GB2312"/>
          <w:color w:val="000000"/>
          <w:szCs w:val="32"/>
        </w:rPr>
        <w:t>50</w:t>
      </w:r>
      <w:r>
        <w:rPr>
          <w:rFonts w:hint="eastAsia" w:ascii="仿宋_GB2312"/>
          <w:color w:val="000000"/>
          <w:szCs w:val="32"/>
        </w:rPr>
        <w:t>万元以上通用设备0台（套），单价</w:t>
      </w:r>
      <w:r>
        <w:rPr>
          <w:rFonts w:ascii="仿宋_GB2312"/>
          <w:color w:val="000000"/>
          <w:szCs w:val="32"/>
        </w:rPr>
        <w:t>100</w:t>
      </w:r>
      <w:r>
        <w:rPr>
          <w:rFonts w:hint="eastAsia" w:ascii="仿宋_GB2312"/>
          <w:color w:val="000000"/>
          <w:szCs w:val="32"/>
        </w:rPr>
        <w:t>万元以上专用设备0台（套）。</w:t>
      </w:r>
    </w:p>
    <w:p>
      <w:pPr>
        <w:autoSpaceDE w:val="0"/>
        <w:autoSpaceDN w:val="0"/>
        <w:adjustRightInd w:val="0"/>
        <w:spacing w:line="560" w:lineRule="exact"/>
        <w:ind w:firstLine="643" w:firstLineChars="200"/>
        <w:jc w:val="left"/>
        <w:outlineLvl w:val="2"/>
        <w:rPr>
          <w:rFonts w:ascii="仿宋" w:hAnsi="仿宋" w:eastAsia="仿宋"/>
          <w:b/>
          <w:color w:val="000000"/>
          <w:szCs w:val="32"/>
        </w:rPr>
      </w:pPr>
      <w:r>
        <w:rPr>
          <w:rFonts w:hint="eastAsia" w:ascii="仿宋" w:hAnsi="仿宋" w:eastAsia="仿宋"/>
          <w:b/>
          <w:color w:val="000000"/>
          <w:szCs w:val="32"/>
        </w:rPr>
        <w:t>（四）预算绩效管理情况。</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根据预算绩效管理要求，本部门（单位）在年初预算编制阶段，组织对</w:t>
      </w:r>
      <w:r>
        <w:rPr>
          <w:rFonts w:hint="eastAsia" w:ascii="仿宋_GB2312" w:hAnsi="仿宋_GB2312" w:cs="仿宋_GB2312"/>
          <w:color w:val="000000"/>
          <w:szCs w:val="32"/>
        </w:rPr>
        <w:t>网格化管理</w:t>
      </w:r>
      <w:r>
        <w:rPr>
          <w:rFonts w:hint="eastAsia" w:ascii="仿宋_GB2312" w:hAnsi="仿宋_GB2312" w:cs="仿宋_GB2312"/>
          <w:szCs w:val="32"/>
        </w:rPr>
        <w:t>项目开展了预算事前绩效评估，对1个项目编制了绩效目标，预算执行过程中，选取1个项目开展绩效监控，年终执行完毕后，对1个项目开展了绩效目标完成情况自评。</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本部门按要求对2020年部门整体支出开展绩效自评，从评价情况来看预算事前绩效评价开展有效，执行严格，达到了预期效果。本部门还自行组织了1个项目支出绩效评价，从评价情况来看预算事前绩效评价开展有效，执行严格，达到了预期效果。</w:t>
      </w:r>
    </w:p>
    <w:p>
      <w:pPr>
        <w:spacing w:line="560" w:lineRule="exact"/>
        <w:ind w:firstLine="640" w:firstLineChars="200"/>
        <w:rPr>
          <w:rFonts w:ascii="仿宋_GB2312" w:hAnsi="仿宋_GB2312" w:cs="仿宋_GB2312"/>
          <w:szCs w:val="32"/>
        </w:rPr>
      </w:pPr>
      <w:r>
        <w:rPr>
          <w:rFonts w:hint="eastAsia" w:ascii="楷体_GB2312" w:hAnsi="楷体_GB2312" w:eastAsia="楷体_GB2312" w:cs="楷体_GB2312"/>
          <w:szCs w:val="32"/>
        </w:rPr>
        <w:t>1.项目绩效目标完成情况。</w:t>
      </w:r>
      <w:r>
        <w:rPr>
          <w:rFonts w:hint="eastAsia" w:ascii="楷体_GB2312" w:hAnsi="楷体_GB2312" w:eastAsia="楷体_GB2312" w:cs="楷体_GB2312"/>
          <w:szCs w:val="32"/>
        </w:rPr>
        <w:br w:type="textWrapping"/>
      </w:r>
      <w:r>
        <w:rPr>
          <w:rFonts w:hint="eastAsia" w:ascii="仿宋_GB2312" w:hAnsi="仿宋_GB2312" w:cs="仿宋_GB2312"/>
          <w:szCs w:val="32"/>
        </w:rPr>
        <w:t xml:space="preserve">    本部门在2020年度部门决算中反映“公共安全视频监控建设联网应用项目”等项目绩效目标实际完成情况。</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（1）网格化管理绩效目标完成情况综述。项目全年预算数6.25万元，执行数为6.25万元，完成预算的</w:t>
      </w:r>
      <w:r>
        <w:rPr>
          <w:rFonts w:ascii="仿宋_GB2312" w:hAnsi="仿宋_GB2312" w:cs="仿宋_GB2312"/>
          <w:color w:val="000000"/>
          <w:szCs w:val="32"/>
        </w:rPr>
        <w:t>100%</w:t>
      </w:r>
      <w:r>
        <w:rPr>
          <w:rFonts w:hint="eastAsia" w:ascii="仿宋_GB2312" w:hAnsi="仿宋_GB2312" w:cs="仿宋_GB2312"/>
          <w:color w:val="000000"/>
          <w:szCs w:val="32"/>
        </w:rPr>
        <w:t>。通过项目实施，实现不同部门机关、不同业务之间安全高速的数据共享，尽可能的简化办公流程，提高办公效率。</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（2）长安网及大调解信息网络建设绩效目标完成情况综述。全年预算数9万元，执行数为9万元，完成预算的</w:t>
      </w:r>
      <w:r>
        <w:rPr>
          <w:rFonts w:ascii="仿宋_GB2312" w:hAnsi="仿宋_GB2312" w:cs="仿宋_GB2312"/>
          <w:color w:val="000000"/>
          <w:szCs w:val="32"/>
        </w:rPr>
        <w:t>100%</w:t>
      </w:r>
      <w:r>
        <w:rPr>
          <w:rFonts w:hint="eastAsia" w:ascii="仿宋_GB2312" w:hAnsi="仿宋_GB2312" w:cs="仿宋_GB2312"/>
          <w:color w:val="000000"/>
          <w:szCs w:val="32"/>
        </w:rPr>
        <w:t>。加强了自贡政法舆论宣传工作建设和大调解信息系统建设。</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（3）多元化解工作绩效目标完成情况综述。全年预算数7.7万元，执行数为7.7万元，完成预算的</w:t>
      </w:r>
      <w:r>
        <w:rPr>
          <w:rFonts w:ascii="仿宋_GB2312" w:hAnsi="仿宋_GB2312" w:cs="仿宋_GB2312"/>
          <w:color w:val="000000"/>
          <w:szCs w:val="32"/>
        </w:rPr>
        <w:t>100%</w:t>
      </w:r>
      <w:r>
        <w:rPr>
          <w:rFonts w:hint="eastAsia" w:ascii="仿宋_GB2312" w:hAnsi="仿宋_GB2312" w:cs="仿宋_GB2312"/>
          <w:color w:val="000000"/>
          <w:szCs w:val="32"/>
        </w:rPr>
        <w:t>。保障推动“调解跟着醒目走”、“调解跟着矛盾走”、突出重点领域专业调解，依法规范和健全“全覆盖”的调解组织及调处机制。进一步完善多元化解矛盾纠纷机制建设。</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（4）平安建设专项经费绩效目标完成情况综述。全年预算数9万元，执行数为9万元，完成预算的</w:t>
      </w:r>
      <w:r>
        <w:rPr>
          <w:rFonts w:ascii="仿宋_GB2312" w:hAnsi="仿宋_GB2312" w:cs="仿宋_GB2312"/>
          <w:color w:val="000000"/>
          <w:szCs w:val="32"/>
        </w:rPr>
        <w:t>100%</w:t>
      </w:r>
      <w:r>
        <w:rPr>
          <w:rFonts w:hint="eastAsia" w:ascii="仿宋_GB2312" w:hAnsi="仿宋_GB2312" w:cs="仿宋_GB2312"/>
          <w:color w:val="000000"/>
          <w:szCs w:val="32"/>
        </w:rPr>
        <w:t>。保障推进全国综治优秀市创建，加强平安自贡建设，确保全市社会大局稳定。</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（5）扫黑除恶专项斗争工作绩效目标完成情况综述。全年预算数37万元，执行数为37万元，完成预算的</w:t>
      </w:r>
      <w:r>
        <w:rPr>
          <w:rFonts w:ascii="仿宋_GB2312" w:hAnsi="仿宋_GB2312" w:cs="仿宋_GB2312"/>
          <w:color w:val="000000"/>
          <w:szCs w:val="32"/>
        </w:rPr>
        <w:t>100%</w:t>
      </w:r>
      <w:r>
        <w:rPr>
          <w:rFonts w:hint="eastAsia" w:ascii="仿宋_GB2312" w:hAnsi="仿宋_GB2312" w:cs="仿宋_GB2312"/>
          <w:color w:val="000000"/>
          <w:szCs w:val="32"/>
        </w:rPr>
        <w:t>。纵深推进扫黑除恶专项斗争，增强人民群众获得感、幸福感、安全感。</w:t>
      </w:r>
    </w:p>
    <w:tbl>
      <w:tblPr>
        <w:tblStyle w:val="26"/>
        <w:tblpPr w:leftFromText="180" w:rightFromText="180" w:vertAnchor="text" w:horzAnchor="page" w:tblpXSpec="center" w:tblpY="423"/>
        <w:tblOverlap w:val="never"/>
        <w:tblW w:w="9371" w:type="dxa"/>
        <w:jc w:val="center"/>
        <w:tblLayout w:type="fixed"/>
        <w:tblCellMar>
          <w:top w:w="0" w:type="dxa"/>
          <w:left w:w="0" w:type="dxa"/>
          <w:bottom w:w="0" w:type="dxa"/>
          <w:right w:w="0" w:type="dxa"/>
        </w:tblCellMar>
      </w:tblPr>
      <w:tblGrid>
        <w:gridCol w:w="384"/>
        <w:gridCol w:w="2003"/>
        <w:gridCol w:w="1257"/>
        <w:gridCol w:w="1450"/>
        <w:gridCol w:w="2009"/>
        <w:gridCol w:w="2268"/>
      </w:tblGrid>
      <w:tr>
        <w:tblPrEx>
          <w:tblCellMar>
            <w:top w:w="0" w:type="dxa"/>
            <w:left w:w="0" w:type="dxa"/>
            <w:bottom w:w="0" w:type="dxa"/>
            <w:right w:w="0" w:type="dxa"/>
          </w:tblCellMar>
        </w:tblPrEx>
        <w:trPr>
          <w:trHeight w:val="1185" w:hRule="atLeast"/>
          <w:jc w:val="center"/>
        </w:trPr>
        <w:tc>
          <w:tcPr>
            <w:tcW w:w="9371" w:type="dxa"/>
            <w:gridSpan w:val="6"/>
            <w:tcBorders>
              <w:top w:val="nil"/>
              <w:left w:val="nil"/>
              <w:bottom w:val="nil"/>
              <w:right w:val="nil"/>
            </w:tcBorders>
            <w:tcMar>
              <w:top w:w="15" w:type="dxa"/>
              <w:left w:w="15" w:type="dxa"/>
              <w:right w:w="15" w:type="dxa"/>
            </w:tcMar>
            <w:vAlign w:val="center"/>
          </w:tcPr>
          <w:p>
            <w:pPr>
              <w:widowControl/>
              <w:spacing w:line="540" w:lineRule="exact"/>
              <w:jc w:val="center"/>
              <w:textAlignment w:val="center"/>
              <w:rPr>
                <w:rFonts w:ascii="宋体" w:hAnsi="宋体" w:cs="宋体"/>
                <w:b/>
                <w:bCs/>
                <w:color w:val="000000"/>
                <w:kern w:val="0"/>
                <w:sz w:val="36"/>
                <w:szCs w:val="36"/>
              </w:rPr>
            </w:pPr>
          </w:p>
          <w:p>
            <w:pPr>
              <w:widowControl/>
              <w:spacing w:line="540" w:lineRule="exact"/>
              <w:jc w:val="center"/>
              <w:textAlignment w:val="center"/>
              <w:rPr>
                <w:rFonts w:ascii="宋体" w:hAnsi="宋体" w:cs="宋体"/>
                <w:b/>
                <w:bCs/>
                <w:color w:val="000000"/>
                <w:kern w:val="0"/>
                <w:sz w:val="36"/>
                <w:szCs w:val="36"/>
              </w:rPr>
            </w:pPr>
          </w:p>
          <w:p>
            <w:pPr>
              <w:widowControl/>
              <w:spacing w:line="540" w:lineRule="exact"/>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316" w:hRule="atLeast"/>
          <w:jc w:val="center"/>
        </w:trPr>
        <w:tc>
          <w:tcPr>
            <w:tcW w:w="36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57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1.网格化管理</w:t>
            </w:r>
          </w:p>
        </w:tc>
      </w:tr>
      <w:tr>
        <w:tblPrEx>
          <w:tblCellMar>
            <w:top w:w="0" w:type="dxa"/>
            <w:left w:w="0" w:type="dxa"/>
            <w:bottom w:w="0" w:type="dxa"/>
            <w:right w:w="0" w:type="dxa"/>
          </w:tblCellMar>
        </w:tblPrEx>
        <w:trPr>
          <w:trHeight w:val="316" w:hRule="atLeast"/>
          <w:jc w:val="center"/>
        </w:trPr>
        <w:tc>
          <w:tcPr>
            <w:tcW w:w="36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57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sz w:val="24"/>
              </w:rPr>
              <w:t>中国共产党自贡市委员会政法委员会</w:t>
            </w:r>
          </w:p>
        </w:tc>
      </w:tr>
      <w:tr>
        <w:tblPrEx>
          <w:tblCellMar>
            <w:top w:w="0" w:type="dxa"/>
            <w:left w:w="0" w:type="dxa"/>
            <w:bottom w:w="0" w:type="dxa"/>
            <w:right w:w="0" w:type="dxa"/>
          </w:tblCellMar>
        </w:tblPrEx>
        <w:trPr>
          <w:trHeight w:val="316" w:hRule="atLeast"/>
          <w:jc w:val="center"/>
        </w:trPr>
        <w:tc>
          <w:tcPr>
            <w:tcW w:w="3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3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sz w:val="24"/>
              </w:rPr>
              <w:t>6.25万元</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sz w:val="24"/>
              </w:rPr>
              <w:t>6.25万元</w:t>
            </w:r>
          </w:p>
        </w:tc>
      </w:tr>
      <w:tr>
        <w:tblPrEx>
          <w:tblCellMar>
            <w:top w:w="0" w:type="dxa"/>
            <w:left w:w="0" w:type="dxa"/>
            <w:bottom w:w="0" w:type="dxa"/>
            <w:right w:w="0" w:type="dxa"/>
          </w:tblCellMar>
        </w:tblPrEx>
        <w:trPr>
          <w:trHeight w:val="316"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24"/>
              </w:rPr>
            </w:pPr>
          </w:p>
        </w:tc>
        <w:tc>
          <w:tcPr>
            <w:tcW w:w="3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sz w:val="24"/>
              </w:rPr>
              <w:t>6.25万元</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732"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24"/>
              </w:rPr>
            </w:pPr>
          </w:p>
        </w:tc>
        <w:tc>
          <w:tcPr>
            <w:tcW w:w="3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sz w:val="24"/>
              </w:rPr>
              <w:t>0</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316" w:hRule="atLeast"/>
          <w:jc w:val="center"/>
        </w:trPr>
        <w:tc>
          <w:tcPr>
            <w:tcW w:w="3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2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328"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24"/>
              </w:rPr>
            </w:pPr>
          </w:p>
        </w:tc>
        <w:tc>
          <w:tcPr>
            <w:tcW w:w="47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实现不同部门机关、不同业务之间安全高速的数据共享，尽可能的简化办公流程，提高办公效率</w:t>
            </w:r>
          </w:p>
        </w:tc>
        <w:tc>
          <w:tcPr>
            <w:tcW w:w="42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实现不同部门机关、不同业务之间安全高速的数据共享，尽可能的简化办公流程，提高办公效率</w:t>
            </w:r>
          </w:p>
        </w:tc>
      </w:tr>
      <w:tr>
        <w:tblPrEx>
          <w:tblCellMar>
            <w:top w:w="0" w:type="dxa"/>
            <w:left w:w="0" w:type="dxa"/>
            <w:bottom w:w="0" w:type="dxa"/>
            <w:right w:w="0" w:type="dxa"/>
          </w:tblCellMar>
        </w:tblPrEx>
        <w:trPr>
          <w:trHeight w:val="685" w:hRule="atLeast"/>
          <w:jc w:val="center"/>
        </w:trPr>
        <w:tc>
          <w:tcPr>
            <w:tcW w:w="38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451"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64"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56"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64"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54"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60"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sz w:val="24"/>
              </w:rPr>
              <w:t>……</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63"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54"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60"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50" w:hRule="atLeast"/>
          <w:jc w:val="center"/>
        </w:trPr>
        <w:tc>
          <w:tcPr>
            <w:tcW w:w="38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bl>
    <w:p>
      <w:pPr>
        <w:spacing w:line="240" w:lineRule="exact"/>
        <w:rPr>
          <w:rFonts w:ascii="仿宋_GB2312" w:hAnsi="仿宋_GB2312" w:cs="仿宋_GB2312"/>
          <w:szCs w:val="32"/>
        </w:rPr>
      </w:pPr>
    </w:p>
    <w:p>
      <w:pPr>
        <w:spacing w:line="580" w:lineRule="exact"/>
        <w:rPr>
          <w:rFonts w:ascii="仿宋_GB2312" w:hAnsi="仿宋_GB2312" w:cs="仿宋_GB2312"/>
          <w:szCs w:val="32"/>
        </w:rPr>
      </w:pPr>
    </w:p>
    <w:p>
      <w:pPr>
        <w:spacing w:line="580" w:lineRule="exact"/>
        <w:rPr>
          <w:rFonts w:ascii="仿宋_GB2312" w:hAnsi="仿宋_GB2312" w:cs="仿宋_GB2312"/>
          <w:szCs w:val="32"/>
        </w:rPr>
      </w:pPr>
    </w:p>
    <w:p>
      <w:pPr>
        <w:widowControl/>
        <w:jc w:val="center"/>
        <w:rPr>
          <w:rFonts w:ascii="黑体" w:hAnsi="黑体" w:eastAsia="黑体" w:cs="宋体"/>
          <w:color w:val="000000"/>
          <w:kern w:val="0"/>
          <w:sz w:val="36"/>
          <w:szCs w:val="36"/>
        </w:rPr>
      </w:pPr>
    </w:p>
    <w:tbl>
      <w:tblPr>
        <w:tblStyle w:val="26"/>
        <w:tblW w:w="9020" w:type="dxa"/>
        <w:tblInd w:w="0" w:type="dxa"/>
        <w:tblLayout w:type="autofit"/>
        <w:tblCellMar>
          <w:top w:w="0" w:type="dxa"/>
          <w:left w:w="108" w:type="dxa"/>
          <w:bottom w:w="0" w:type="dxa"/>
          <w:right w:w="108" w:type="dxa"/>
        </w:tblCellMar>
      </w:tblPr>
      <w:tblGrid>
        <w:gridCol w:w="1920"/>
        <w:gridCol w:w="1300"/>
        <w:gridCol w:w="1080"/>
        <w:gridCol w:w="1480"/>
        <w:gridCol w:w="1460"/>
        <w:gridCol w:w="1780"/>
      </w:tblGrid>
      <w:tr>
        <w:tblPrEx>
          <w:tblCellMar>
            <w:top w:w="0" w:type="dxa"/>
            <w:left w:w="108" w:type="dxa"/>
            <w:bottom w:w="0" w:type="dxa"/>
            <w:right w:w="108" w:type="dxa"/>
          </w:tblCellMar>
        </w:tblPrEx>
        <w:trPr>
          <w:trHeight w:val="450" w:hRule="atLeast"/>
        </w:trPr>
        <w:tc>
          <w:tcPr>
            <w:tcW w:w="9020" w:type="dxa"/>
            <w:gridSpan w:val="6"/>
            <w:tcBorders>
              <w:top w:val="nil"/>
              <w:left w:val="nil"/>
              <w:bottom w:val="nil"/>
              <w:right w:val="nil"/>
            </w:tcBorders>
            <w:vAlign w:val="center"/>
          </w:tcPr>
          <w:p>
            <w:pPr>
              <w:widowControl/>
              <w:spacing w:line="540" w:lineRule="exact"/>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465" w:hRule="atLeast"/>
        </w:trPr>
        <w:tc>
          <w:tcPr>
            <w:tcW w:w="9020" w:type="dxa"/>
            <w:gridSpan w:val="6"/>
            <w:tcBorders>
              <w:top w:val="nil"/>
              <w:left w:val="nil"/>
              <w:bottom w:val="single" w:color="000000" w:sz="8" w:space="0"/>
              <w:right w:val="nil"/>
            </w:tcBorders>
            <w:vAlign w:val="center"/>
          </w:tcPr>
          <w:p>
            <w:pPr>
              <w:widowControl/>
              <w:spacing w:line="540" w:lineRule="exact"/>
              <w:jc w:val="center"/>
              <w:textAlignment w:val="center"/>
              <w:rPr>
                <w:rFonts w:ascii="宋体" w:hAnsi="宋体" w:cs="宋体"/>
                <w:b/>
                <w:bCs/>
                <w:color w:val="000000"/>
                <w:kern w:val="0"/>
                <w:sz w:val="36"/>
                <w:szCs w:val="36"/>
              </w:rPr>
            </w:pPr>
            <w:r>
              <w:rPr>
                <w:rFonts w:ascii="宋体" w:hAnsi="宋体" w:cs="宋体"/>
                <w:b/>
                <w:bCs/>
                <w:color w:val="000000"/>
                <w:kern w:val="0"/>
                <w:sz w:val="36"/>
                <w:szCs w:val="36"/>
              </w:rPr>
              <w:t>(20</w:t>
            </w:r>
            <w:r>
              <w:rPr>
                <w:rFonts w:hint="eastAsia" w:ascii="宋体" w:hAnsi="宋体" w:cs="宋体"/>
                <w:b/>
                <w:bCs/>
                <w:color w:val="000000"/>
                <w:kern w:val="0"/>
                <w:sz w:val="36"/>
                <w:szCs w:val="36"/>
              </w:rPr>
              <w:t>20年度</w:t>
            </w:r>
            <w:r>
              <w:rPr>
                <w:rFonts w:ascii="宋体" w:hAnsi="宋体" w:cs="宋体"/>
                <w:b/>
                <w:bCs/>
                <w:color w:val="000000"/>
                <w:kern w:val="0"/>
                <w:sz w:val="36"/>
                <w:szCs w:val="36"/>
              </w:rPr>
              <w:t>)</w:t>
            </w:r>
          </w:p>
        </w:tc>
      </w:tr>
      <w:tr>
        <w:tblPrEx>
          <w:tblCellMar>
            <w:top w:w="0" w:type="dxa"/>
            <w:left w:w="108" w:type="dxa"/>
            <w:bottom w:w="0" w:type="dxa"/>
            <w:right w:w="108" w:type="dxa"/>
          </w:tblCellMar>
        </w:tblPrEx>
        <w:trPr>
          <w:trHeight w:val="300" w:hRule="atLeast"/>
        </w:trPr>
        <w:tc>
          <w:tcPr>
            <w:tcW w:w="4300" w:type="dxa"/>
            <w:gridSpan w:val="3"/>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项目名称</w:t>
            </w:r>
          </w:p>
        </w:tc>
        <w:tc>
          <w:tcPr>
            <w:tcW w:w="4720" w:type="dxa"/>
            <w:gridSpan w:val="3"/>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ascii="宋体" w:hAnsi="宋体" w:cs="宋体"/>
                <w:color w:val="000000"/>
                <w:kern w:val="0"/>
                <w:sz w:val="24"/>
              </w:rPr>
              <w:t xml:space="preserve">2. </w:t>
            </w:r>
            <w:r>
              <w:rPr>
                <w:rFonts w:hint="eastAsia" w:ascii="宋体" w:hAnsi="宋体" w:cs="宋体"/>
                <w:color w:val="000000"/>
                <w:kern w:val="0"/>
                <w:sz w:val="24"/>
              </w:rPr>
              <w:t>长安网及大调解信息网络</w:t>
            </w:r>
          </w:p>
        </w:tc>
      </w:tr>
      <w:tr>
        <w:tblPrEx>
          <w:tblCellMar>
            <w:top w:w="0" w:type="dxa"/>
            <w:left w:w="108" w:type="dxa"/>
            <w:bottom w:w="0" w:type="dxa"/>
            <w:right w:w="108" w:type="dxa"/>
          </w:tblCellMar>
        </w:tblPrEx>
        <w:trPr>
          <w:trHeight w:val="300" w:hRule="atLeast"/>
        </w:trPr>
        <w:tc>
          <w:tcPr>
            <w:tcW w:w="4300" w:type="dxa"/>
            <w:gridSpan w:val="3"/>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预算单位</w:t>
            </w:r>
          </w:p>
        </w:tc>
        <w:tc>
          <w:tcPr>
            <w:tcW w:w="4720" w:type="dxa"/>
            <w:gridSpan w:val="3"/>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市委政法委</w:t>
            </w:r>
          </w:p>
        </w:tc>
      </w:tr>
      <w:tr>
        <w:tblPrEx>
          <w:tblCellMar>
            <w:top w:w="0" w:type="dxa"/>
            <w:left w:w="108" w:type="dxa"/>
            <w:bottom w:w="0" w:type="dxa"/>
            <w:right w:w="108" w:type="dxa"/>
          </w:tblCellMar>
        </w:tblPrEx>
        <w:trPr>
          <w:trHeight w:val="300" w:hRule="atLeast"/>
        </w:trPr>
        <w:tc>
          <w:tcPr>
            <w:tcW w:w="1920" w:type="dxa"/>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80" w:type="dxa"/>
            <w:gridSpan w:val="2"/>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9万元</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9万元</w:t>
            </w:r>
          </w:p>
        </w:tc>
      </w:tr>
      <w:tr>
        <w:tblPrEx>
          <w:tblCellMar>
            <w:top w:w="0" w:type="dxa"/>
            <w:left w:w="108" w:type="dxa"/>
            <w:bottom w:w="0" w:type="dxa"/>
            <w:right w:w="108" w:type="dxa"/>
          </w:tblCellMar>
        </w:tblPrEx>
        <w:trPr>
          <w:trHeight w:val="585"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2380" w:type="dxa"/>
            <w:gridSpan w:val="2"/>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9万元</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585"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2380" w:type="dxa"/>
            <w:gridSpan w:val="2"/>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ascii="宋体" w:hAnsi="宋体" w:cs="宋体"/>
                <w:color w:val="000000"/>
                <w:kern w:val="0"/>
                <w:sz w:val="24"/>
              </w:rPr>
              <w:t>0</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80" w:hRule="atLeast"/>
        </w:trPr>
        <w:tc>
          <w:tcPr>
            <w:tcW w:w="1920" w:type="dxa"/>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年度目标完成情况</w:t>
            </w:r>
          </w:p>
        </w:tc>
        <w:tc>
          <w:tcPr>
            <w:tcW w:w="3860" w:type="dxa"/>
            <w:gridSpan w:val="3"/>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3240" w:type="dxa"/>
            <w:gridSpan w:val="2"/>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实际完成目标</w:t>
            </w:r>
          </w:p>
        </w:tc>
      </w:tr>
      <w:tr>
        <w:tblPrEx>
          <w:tblCellMar>
            <w:top w:w="0" w:type="dxa"/>
            <w:left w:w="108" w:type="dxa"/>
            <w:bottom w:w="0" w:type="dxa"/>
            <w:right w:w="108" w:type="dxa"/>
          </w:tblCellMar>
        </w:tblPrEx>
        <w:trPr>
          <w:trHeight w:val="2340"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3860" w:type="dxa"/>
            <w:gridSpan w:val="3"/>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加强自贡政法舆论宣传工作和大调解信息系统建设。</w:t>
            </w:r>
          </w:p>
          <w:p>
            <w:pPr>
              <w:widowControl/>
              <w:spacing w:line="240" w:lineRule="exact"/>
              <w:jc w:val="center"/>
              <w:textAlignment w:val="center"/>
              <w:rPr>
                <w:rFonts w:ascii="宋体" w:hAnsi="宋体" w:cs="宋体"/>
                <w:color w:val="000000"/>
                <w:kern w:val="0"/>
                <w:sz w:val="24"/>
              </w:rPr>
            </w:pPr>
          </w:p>
        </w:tc>
        <w:tc>
          <w:tcPr>
            <w:tcW w:w="3240" w:type="dxa"/>
            <w:gridSpan w:val="2"/>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加强自贡政法舆论宣传工作和大调解信息系统建设。</w:t>
            </w:r>
          </w:p>
          <w:p>
            <w:pPr>
              <w:widowControl/>
              <w:spacing w:line="240" w:lineRule="exact"/>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1440" w:hRule="atLeast"/>
        </w:trPr>
        <w:tc>
          <w:tcPr>
            <w:tcW w:w="1920" w:type="dxa"/>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绩效指标完成情况</w:t>
            </w:r>
          </w:p>
        </w:tc>
        <w:tc>
          <w:tcPr>
            <w:tcW w:w="130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一级指标</w:t>
            </w:r>
          </w:p>
        </w:tc>
        <w:tc>
          <w:tcPr>
            <w:tcW w:w="10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二级指标</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三级指标</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108" w:type="dxa"/>
            <w:bottom w:w="0" w:type="dxa"/>
            <w:right w:w="108" w:type="dxa"/>
          </w:tblCellMar>
        </w:tblPrEx>
        <w:trPr>
          <w:trHeight w:val="585"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45"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5"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bl>
    <w:p>
      <w:pPr>
        <w:widowControl/>
        <w:jc w:val="center"/>
        <w:rPr>
          <w:rFonts w:ascii="黑体" w:hAnsi="黑体" w:eastAsia="黑体" w:cs="宋体"/>
          <w:color w:val="000000"/>
          <w:kern w:val="0"/>
          <w:sz w:val="36"/>
          <w:szCs w:val="36"/>
        </w:rPr>
      </w:pPr>
    </w:p>
    <w:tbl>
      <w:tblPr>
        <w:tblStyle w:val="26"/>
        <w:tblW w:w="9106" w:type="dxa"/>
        <w:tblInd w:w="0" w:type="dxa"/>
        <w:tblLayout w:type="autofit"/>
        <w:tblCellMar>
          <w:top w:w="0" w:type="dxa"/>
          <w:left w:w="108" w:type="dxa"/>
          <w:bottom w:w="0" w:type="dxa"/>
          <w:right w:w="108" w:type="dxa"/>
        </w:tblCellMar>
      </w:tblPr>
      <w:tblGrid>
        <w:gridCol w:w="1593"/>
        <w:gridCol w:w="27"/>
        <w:gridCol w:w="300"/>
        <w:gridCol w:w="1000"/>
        <w:gridCol w:w="300"/>
        <w:gridCol w:w="500"/>
        <w:gridCol w:w="280"/>
        <w:gridCol w:w="300"/>
        <w:gridCol w:w="1121"/>
        <w:gridCol w:w="59"/>
        <w:gridCol w:w="300"/>
        <w:gridCol w:w="1420"/>
        <w:gridCol w:w="63"/>
        <w:gridCol w:w="142"/>
        <w:gridCol w:w="95"/>
        <w:gridCol w:w="1323"/>
        <w:gridCol w:w="141"/>
        <w:gridCol w:w="142"/>
      </w:tblGrid>
      <w:tr>
        <w:trPr>
          <w:trHeight w:val="450" w:hRule="atLeast"/>
        </w:trPr>
        <w:tc>
          <w:tcPr>
            <w:tcW w:w="9106" w:type="dxa"/>
            <w:gridSpan w:val="18"/>
            <w:tcBorders>
              <w:top w:val="nil"/>
              <w:left w:val="nil"/>
              <w:bottom w:val="nil"/>
              <w:right w:val="nil"/>
            </w:tcBorders>
            <w:vAlign w:val="center"/>
          </w:tcPr>
          <w:p>
            <w:pPr>
              <w:widowControl/>
              <w:spacing w:line="540" w:lineRule="exact"/>
              <w:jc w:val="center"/>
              <w:textAlignment w:val="center"/>
              <w:rPr>
                <w:rFonts w:ascii="宋体" w:hAnsi="宋体" w:cs="宋体"/>
                <w:b/>
                <w:bCs/>
                <w:color w:val="000000"/>
                <w:kern w:val="0"/>
                <w:sz w:val="36"/>
                <w:szCs w:val="36"/>
              </w:rPr>
            </w:pPr>
          </w:p>
          <w:p>
            <w:pPr>
              <w:widowControl/>
              <w:spacing w:line="540" w:lineRule="exact"/>
              <w:jc w:val="center"/>
              <w:textAlignment w:val="center"/>
              <w:rPr>
                <w:rFonts w:ascii="宋体" w:hAnsi="宋体" w:cs="宋体"/>
                <w:b/>
                <w:bCs/>
                <w:color w:val="000000"/>
                <w:kern w:val="0"/>
                <w:sz w:val="36"/>
                <w:szCs w:val="36"/>
              </w:rPr>
            </w:pPr>
          </w:p>
          <w:p>
            <w:pPr>
              <w:widowControl/>
              <w:spacing w:line="540" w:lineRule="exact"/>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465" w:hRule="atLeast"/>
        </w:trPr>
        <w:tc>
          <w:tcPr>
            <w:tcW w:w="9106" w:type="dxa"/>
            <w:gridSpan w:val="18"/>
            <w:tcBorders>
              <w:top w:val="nil"/>
              <w:left w:val="nil"/>
              <w:bottom w:val="single" w:color="000000" w:sz="8" w:space="0"/>
              <w:right w:val="nil"/>
            </w:tcBorders>
            <w:vAlign w:val="center"/>
          </w:tcPr>
          <w:p>
            <w:pPr>
              <w:widowControl/>
              <w:spacing w:line="540" w:lineRule="exact"/>
              <w:jc w:val="center"/>
              <w:textAlignment w:val="center"/>
              <w:rPr>
                <w:rFonts w:ascii="宋体" w:hAnsi="宋体" w:cs="宋体"/>
                <w:b/>
                <w:bCs/>
                <w:color w:val="000000"/>
                <w:kern w:val="0"/>
                <w:sz w:val="36"/>
                <w:szCs w:val="36"/>
              </w:rPr>
            </w:pPr>
            <w:r>
              <w:rPr>
                <w:rFonts w:ascii="宋体" w:hAnsi="宋体" w:cs="宋体"/>
                <w:b/>
                <w:bCs/>
                <w:color w:val="000000"/>
                <w:kern w:val="0"/>
                <w:sz w:val="36"/>
                <w:szCs w:val="36"/>
              </w:rPr>
              <w:t>(20</w:t>
            </w:r>
            <w:r>
              <w:rPr>
                <w:rFonts w:hint="eastAsia" w:ascii="宋体" w:hAnsi="宋体" w:cs="宋体"/>
                <w:b/>
                <w:bCs/>
                <w:color w:val="000000"/>
                <w:kern w:val="0"/>
                <w:sz w:val="36"/>
                <w:szCs w:val="36"/>
              </w:rPr>
              <w:t>20</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年度</w:t>
            </w:r>
            <w:r>
              <w:rPr>
                <w:rFonts w:ascii="宋体" w:hAnsi="宋体" w:cs="宋体"/>
                <w:b/>
                <w:bCs/>
                <w:color w:val="000000"/>
                <w:kern w:val="0"/>
                <w:sz w:val="36"/>
                <w:szCs w:val="36"/>
              </w:rPr>
              <w:t>)</w:t>
            </w:r>
          </w:p>
        </w:tc>
      </w:tr>
      <w:tr>
        <w:tblPrEx>
          <w:tblCellMar>
            <w:top w:w="0" w:type="dxa"/>
            <w:left w:w="108" w:type="dxa"/>
            <w:bottom w:w="0" w:type="dxa"/>
            <w:right w:w="108" w:type="dxa"/>
          </w:tblCellMar>
        </w:tblPrEx>
        <w:trPr>
          <w:trHeight w:val="300" w:hRule="atLeast"/>
        </w:trPr>
        <w:tc>
          <w:tcPr>
            <w:tcW w:w="4300" w:type="dxa"/>
            <w:gridSpan w:val="8"/>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项目名称</w:t>
            </w:r>
          </w:p>
        </w:tc>
        <w:tc>
          <w:tcPr>
            <w:tcW w:w="4806" w:type="dxa"/>
            <w:gridSpan w:val="10"/>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ascii="宋体" w:hAnsi="宋体" w:cs="宋体"/>
                <w:color w:val="000000"/>
                <w:kern w:val="0"/>
                <w:sz w:val="24"/>
              </w:rPr>
              <w:t xml:space="preserve">3. </w:t>
            </w:r>
            <w:r>
              <w:rPr>
                <w:rFonts w:hint="eastAsia" w:ascii="宋体" w:hAnsi="宋体" w:cs="宋体"/>
                <w:color w:val="000000"/>
                <w:kern w:val="0"/>
                <w:sz w:val="24"/>
              </w:rPr>
              <w:t>多元化解</w:t>
            </w:r>
          </w:p>
        </w:tc>
      </w:tr>
      <w:tr>
        <w:tblPrEx>
          <w:tblCellMar>
            <w:top w:w="0" w:type="dxa"/>
            <w:left w:w="108" w:type="dxa"/>
            <w:bottom w:w="0" w:type="dxa"/>
            <w:right w:w="108" w:type="dxa"/>
          </w:tblCellMar>
        </w:tblPrEx>
        <w:trPr>
          <w:trHeight w:val="300" w:hRule="atLeast"/>
        </w:trPr>
        <w:tc>
          <w:tcPr>
            <w:tcW w:w="4300" w:type="dxa"/>
            <w:gridSpan w:val="8"/>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预算单位</w:t>
            </w:r>
          </w:p>
        </w:tc>
        <w:tc>
          <w:tcPr>
            <w:tcW w:w="4806" w:type="dxa"/>
            <w:gridSpan w:val="10"/>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市委政法委</w:t>
            </w:r>
          </w:p>
        </w:tc>
      </w:tr>
      <w:tr>
        <w:tblPrEx>
          <w:tblCellMar>
            <w:top w:w="0" w:type="dxa"/>
            <w:left w:w="108" w:type="dxa"/>
            <w:bottom w:w="0" w:type="dxa"/>
            <w:right w:w="108" w:type="dxa"/>
          </w:tblCellMar>
        </w:tblPrEx>
        <w:trPr>
          <w:trHeight w:val="300" w:hRule="atLeast"/>
        </w:trPr>
        <w:tc>
          <w:tcPr>
            <w:tcW w:w="1920" w:type="dxa"/>
            <w:gridSpan w:val="3"/>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80" w:type="dxa"/>
            <w:gridSpan w:val="5"/>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7.7万元</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7.7万元</w:t>
            </w:r>
          </w:p>
        </w:tc>
      </w:tr>
      <w:tr>
        <w:tblPrEx>
          <w:tblCellMar>
            <w:top w:w="0" w:type="dxa"/>
            <w:left w:w="108" w:type="dxa"/>
            <w:bottom w:w="0" w:type="dxa"/>
            <w:right w:w="108" w:type="dxa"/>
          </w:tblCellMar>
        </w:tblPrEx>
        <w:trPr>
          <w:trHeight w:val="58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2380" w:type="dxa"/>
            <w:gridSpan w:val="5"/>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7.7万元</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2380" w:type="dxa"/>
            <w:gridSpan w:val="5"/>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ascii="宋体" w:hAnsi="宋体" w:cs="宋体"/>
                <w:color w:val="000000"/>
                <w:kern w:val="0"/>
                <w:sz w:val="24"/>
              </w:rPr>
              <w:t>0</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80" w:hRule="atLeast"/>
        </w:trPr>
        <w:tc>
          <w:tcPr>
            <w:tcW w:w="1920" w:type="dxa"/>
            <w:gridSpan w:val="3"/>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年度目标完成情况</w:t>
            </w:r>
          </w:p>
        </w:tc>
        <w:tc>
          <w:tcPr>
            <w:tcW w:w="3860" w:type="dxa"/>
            <w:gridSpan w:val="8"/>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3326" w:type="dxa"/>
            <w:gridSpan w:val="7"/>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实际完成目标</w:t>
            </w:r>
          </w:p>
        </w:tc>
      </w:tr>
      <w:tr>
        <w:tblPrEx>
          <w:tblCellMar>
            <w:top w:w="0" w:type="dxa"/>
            <w:left w:w="108" w:type="dxa"/>
            <w:bottom w:w="0" w:type="dxa"/>
            <w:right w:w="108" w:type="dxa"/>
          </w:tblCellMar>
        </w:tblPrEx>
        <w:trPr>
          <w:trHeight w:val="277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3860" w:type="dxa"/>
            <w:gridSpan w:val="8"/>
            <w:tcBorders>
              <w:top w:val="single" w:color="000000" w:sz="8" w:space="0"/>
              <w:left w:val="nil"/>
              <w:bottom w:val="single" w:color="000000" w:sz="8" w:space="0"/>
              <w:right w:val="single" w:color="000000" w:sz="8" w:space="0"/>
            </w:tcBorders>
            <w:vAlign w:val="center"/>
          </w:tcPr>
          <w:p>
            <w:pPr>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保障推动“调解跟着醒目走”、“调解跟着矛盾走”、突出重点领域专业调解，依法规范和健全“全覆盖”的调解组织及调处机制。进一步完善多元化解矛盾纠纷机制建设。</w:t>
            </w:r>
          </w:p>
          <w:p>
            <w:pPr>
              <w:widowControl/>
              <w:spacing w:line="240" w:lineRule="exact"/>
              <w:jc w:val="center"/>
              <w:textAlignment w:val="center"/>
              <w:rPr>
                <w:rFonts w:ascii="宋体" w:hAnsi="宋体" w:cs="宋体"/>
                <w:color w:val="000000"/>
                <w:kern w:val="0"/>
                <w:sz w:val="24"/>
              </w:rPr>
            </w:pPr>
          </w:p>
        </w:tc>
        <w:tc>
          <w:tcPr>
            <w:tcW w:w="3326" w:type="dxa"/>
            <w:gridSpan w:val="7"/>
            <w:tcBorders>
              <w:top w:val="single" w:color="000000" w:sz="8" w:space="0"/>
              <w:left w:val="nil"/>
              <w:bottom w:val="single" w:color="000000" w:sz="8" w:space="0"/>
              <w:right w:val="single" w:color="000000" w:sz="8" w:space="0"/>
            </w:tcBorders>
            <w:vAlign w:val="center"/>
          </w:tcPr>
          <w:p>
            <w:pPr>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保障推动“调解跟着醒目走”、“调解跟着矛盾走”、突出重点领域专业调解，依法规范和健全“全覆盖”的调解组织及调处机制。进一步完善多元化解矛盾纠纷机制建设。</w:t>
            </w:r>
          </w:p>
          <w:p>
            <w:pPr>
              <w:widowControl/>
              <w:spacing w:line="240" w:lineRule="exact"/>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1440" w:hRule="atLeast"/>
        </w:trPr>
        <w:tc>
          <w:tcPr>
            <w:tcW w:w="1920" w:type="dxa"/>
            <w:gridSpan w:val="3"/>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绩效指标完成情况</w:t>
            </w: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一级指标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二级指标</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三级指标</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108" w:type="dxa"/>
            <w:bottom w:w="0" w:type="dxa"/>
            <w:right w:w="108" w:type="dxa"/>
          </w:tblCellMar>
        </w:tblPrEx>
        <w:trPr>
          <w:trHeight w:val="58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4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142" w:type="dxa"/>
          <w:trHeight w:val="450" w:hRule="atLeast"/>
        </w:trPr>
        <w:tc>
          <w:tcPr>
            <w:tcW w:w="8964" w:type="dxa"/>
            <w:gridSpan w:val="17"/>
            <w:tcBorders>
              <w:top w:val="nil"/>
              <w:left w:val="nil"/>
              <w:bottom w:val="nil"/>
              <w:right w:val="nil"/>
            </w:tcBorders>
            <w:vAlign w:val="center"/>
          </w:tcPr>
          <w:p>
            <w:pPr>
              <w:widowControl/>
              <w:spacing w:line="540" w:lineRule="exact"/>
              <w:jc w:val="center"/>
              <w:textAlignment w:val="center"/>
              <w:rPr>
                <w:rFonts w:ascii="宋体" w:hAnsi="宋体" w:cs="宋体"/>
                <w:b/>
                <w:bCs/>
                <w:color w:val="000000"/>
                <w:kern w:val="0"/>
                <w:sz w:val="36"/>
                <w:szCs w:val="36"/>
              </w:rPr>
            </w:pPr>
          </w:p>
          <w:p>
            <w:pPr>
              <w:widowControl/>
              <w:spacing w:line="540" w:lineRule="exact"/>
              <w:jc w:val="center"/>
              <w:textAlignment w:val="center"/>
              <w:rPr>
                <w:rFonts w:ascii="宋体" w:hAnsi="宋体" w:cs="宋体"/>
                <w:b/>
                <w:bCs/>
                <w:color w:val="000000"/>
                <w:kern w:val="0"/>
                <w:sz w:val="36"/>
                <w:szCs w:val="36"/>
              </w:rPr>
            </w:pPr>
          </w:p>
          <w:p>
            <w:pPr>
              <w:widowControl/>
              <w:spacing w:line="540" w:lineRule="exact"/>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gridAfter w:val="1"/>
          <w:wAfter w:w="142" w:type="dxa"/>
          <w:trHeight w:val="465" w:hRule="atLeast"/>
        </w:trPr>
        <w:tc>
          <w:tcPr>
            <w:tcW w:w="8964" w:type="dxa"/>
            <w:gridSpan w:val="17"/>
            <w:tcBorders>
              <w:top w:val="nil"/>
              <w:left w:val="nil"/>
              <w:bottom w:val="single" w:color="000000" w:sz="8" w:space="0"/>
              <w:right w:val="nil"/>
            </w:tcBorders>
            <w:vAlign w:val="center"/>
          </w:tcPr>
          <w:p>
            <w:pPr>
              <w:widowControl/>
              <w:spacing w:line="540" w:lineRule="exact"/>
              <w:jc w:val="center"/>
              <w:textAlignment w:val="center"/>
              <w:rPr>
                <w:rFonts w:ascii="宋体" w:hAnsi="宋体" w:cs="宋体"/>
                <w:b/>
                <w:bCs/>
                <w:color w:val="000000"/>
                <w:kern w:val="0"/>
                <w:sz w:val="36"/>
                <w:szCs w:val="36"/>
              </w:rPr>
            </w:pPr>
            <w:r>
              <w:rPr>
                <w:rFonts w:ascii="宋体" w:hAnsi="宋体" w:cs="宋体"/>
                <w:b/>
                <w:bCs/>
                <w:color w:val="000000"/>
                <w:kern w:val="0"/>
                <w:sz w:val="36"/>
                <w:szCs w:val="36"/>
              </w:rPr>
              <w:t>(20</w:t>
            </w:r>
            <w:r>
              <w:rPr>
                <w:rFonts w:hint="eastAsia" w:ascii="宋体" w:hAnsi="宋体" w:cs="宋体"/>
                <w:b/>
                <w:bCs/>
                <w:color w:val="000000"/>
                <w:kern w:val="0"/>
                <w:sz w:val="36"/>
                <w:szCs w:val="36"/>
              </w:rPr>
              <w:t>20</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年度</w:t>
            </w:r>
            <w:r>
              <w:rPr>
                <w:rFonts w:ascii="宋体" w:hAnsi="宋体" w:cs="宋体"/>
                <w:b/>
                <w:bCs/>
                <w:color w:val="000000"/>
                <w:kern w:val="0"/>
                <w:sz w:val="36"/>
                <w:szCs w:val="36"/>
              </w:rPr>
              <w:t>)</w:t>
            </w:r>
          </w:p>
        </w:tc>
      </w:tr>
      <w:tr>
        <w:tblPrEx>
          <w:tblCellMar>
            <w:top w:w="0" w:type="dxa"/>
            <w:left w:w="108" w:type="dxa"/>
            <w:bottom w:w="0" w:type="dxa"/>
            <w:right w:w="108" w:type="dxa"/>
          </w:tblCellMar>
        </w:tblPrEx>
        <w:trPr>
          <w:gridAfter w:val="1"/>
          <w:wAfter w:w="142" w:type="dxa"/>
          <w:trHeight w:val="300" w:hRule="atLeast"/>
        </w:trPr>
        <w:tc>
          <w:tcPr>
            <w:tcW w:w="3720"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项目名称</w:t>
            </w:r>
          </w:p>
        </w:tc>
        <w:tc>
          <w:tcPr>
            <w:tcW w:w="5244" w:type="dxa"/>
            <w:gridSpan w:val="11"/>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ascii="宋体" w:hAnsi="宋体" w:cs="宋体"/>
                <w:color w:val="000000"/>
                <w:kern w:val="0"/>
                <w:sz w:val="24"/>
              </w:rPr>
              <w:t xml:space="preserve">4. </w:t>
            </w:r>
            <w:r>
              <w:rPr>
                <w:rFonts w:hint="eastAsia" w:ascii="宋体" w:hAnsi="宋体" w:cs="宋体"/>
                <w:color w:val="000000"/>
                <w:kern w:val="0"/>
                <w:sz w:val="24"/>
              </w:rPr>
              <w:t>平安建设专项</w:t>
            </w:r>
          </w:p>
        </w:tc>
      </w:tr>
      <w:tr>
        <w:tblPrEx>
          <w:tblCellMar>
            <w:top w:w="0" w:type="dxa"/>
            <w:left w:w="108" w:type="dxa"/>
            <w:bottom w:w="0" w:type="dxa"/>
            <w:right w:w="108" w:type="dxa"/>
          </w:tblCellMar>
        </w:tblPrEx>
        <w:trPr>
          <w:gridAfter w:val="1"/>
          <w:wAfter w:w="142" w:type="dxa"/>
          <w:trHeight w:val="300" w:hRule="atLeast"/>
        </w:trPr>
        <w:tc>
          <w:tcPr>
            <w:tcW w:w="3720"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预算单位</w:t>
            </w:r>
          </w:p>
        </w:tc>
        <w:tc>
          <w:tcPr>
            <w:tcW w:w="5244" w:type="dxa"/>
            <w:gridSpan w:val="11"/>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市委政法委</w:t>
            </w:r>
          </w:p>
        </w:tc>
      </w:tr>
      <w:tr>
        <w:tblPrEx>
          <w:tblCellMar>
            <w:top w:w="0" w:type="dxa"/>
            <w:left w:w="108" w:type="dxa"/>
            <w:bottom w:w="0" w:type="dxa"/>
            <w:right w:w="108" w:type="dxa"/>
          </w:tblCellMar>
        </w:tblPrEx>
        <w:trPr>
          <w:gridAfter w:val="1"/>
          <w:wAfter w:w="142" w:type="dxa"/>
          <w:trHeight w:val="300" w:hRule="atLeast"/>
        </w:trPr>
        <w:tc>
          <w:tcPr>
            <w:tcW w:w="1593" w:type="dxa"/>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127" w:type="dxa"/>
            <w:gridSpan w:val="5"/>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1701"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9元</w:t>
            </w:r>
          </w:p>
        </w:tc>
        <w:tc>
          <w:tcPr>
            <w:tcW w:w="1984" w:type="dxa"/>
            <w:gridSpan w:val="5"/>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1559"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9万元</w:t>
            </w:r>
          </w:p>
        </w:tc>
      </w:tr>
      <w:tr>
        <w:tblPrEx>
          <w:tblCellMar>
            <w:top w:w="0" w:type="dxa"/>
            <w:left w:w="108" w:type="dxa"/>
            <w:bottom w:w="0" w:type="dxa"/>
            <w:right w:w="108" w:type="dxa"/>
          </w:tblCellMar>
        </w:tblPrEx>
        <w:trPr>
          <w:gridAfter w:val="1"/>
          <w:wAfter w:w="142" w:type="dxa"/>
          <w:trHeight w:val="58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2127" w:type="dxa"/>
            <w:gridSpan w:val="5"/>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701"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9万元</w:t>
            </w:r>
          </w:p>
        </w:tc>
        <w:tc>
          <w:tcPr>
            <w:tcW w:w="1984" w:type="dxa"/>
            <w:gridSpan w:val="5"/>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559"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142" w:type="dxa"/>
          <w:trHeight w:val="58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2127" w:type="dxa"/>
            <w:gridSpan w:val="5"/>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701"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ascii="宋体" w:hAnsi="宋体" w:cs="宋体"/>
                <w:color w:val="000000"/>
                <w:kern w:val="0"/>
                <w:sz w:val="24"/>
              </w:rPr>
              <w:t>0</w:t>
            </w:r>
          </w:p>
        </w:tc>
        <w:tc>
          <w:tcPr>
            <w:tcW w:w="1984" w:type="dxa"/>
            <w:gridSpan w:val="5"/>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559"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142" w:type="dxa"/>
          <w:trHeight w:val="480" w:hRule="atLeast"/>
        </w:trPr>
        <w:tc>
          <w:tcPr>
            <w:tcW w:w="1593" w:type="dxa"/>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年度目标完成情况</w:t>
            </w:r>
          </w:p>
        </w:tc>
        <w:tc>
          <w:tcPr>
            <w:tcW w:w="3828" w:type="dxa"/>
            <w:gridSpan w:val="8"/>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3543" w:type="dxa"/>
            <w:gridSpan w:val="8"/>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实际完成目标</w:t>
            </w:r>
          </w:p>
        </w:tc>
      </w:tr>
      <w:tr>
        <w:tblPrEx>
          <w:tblCellMar>
            <w:top w:w="0" w:type="dxa"/>
            <w:left w:w="108" w:type="dxa"/>
            <w:bottom w:w="0" w:type="dxa"/>
            <w:right w:w="108" w:type="dxa"/>
          </w:tblCellMar>
        </w:tblPrEx>
        <w:trPr>
          <w:gridAfter w:val="1"/>
          <w:wAfter w:w="142" w:type="dxa"/>
          <w:trHeight w:val="277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3828" w:type="dxa"/>
            <w:gridSpan w:val="8"/>
            <w:tcBorders>
              <w:top w:val="single" w:color="000000" w:sz="8" w:space="0"/>
              <w:left w:val="nil"/>
              <w:bottom w:val="single" w:color="000000" w:sz="8" w:space="0"/>
              <w:right w:val="single" w:color="000000" w:sz="8" w:space="0"/>
            </w:tcBorders>
            <w:vAlign w:val="center"/>
          </w:tcPr>
          <w:p>
            <w:pPr>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保障推进全国综治优秀市创建，加强平安自贡建设；确保全市社会大局稳定。</w:t>
            </w:r>
          </w:p>
          <w:p>
            <w:pPr>
              <w:widowControl/>
              <w:spacing w:line="240" w:lineRule="exact"/>
              <w:jc w:val="center"/>
              <w:textAlignment w:val="center"/>
              <w:rPr>
                <w:rFonts w:ascii="宋体" w:hAnsi="宋体" w:cs="宋体"/>
                <w:color w:val="000000"/>
                <w:kern w:val="0"/>
                <w:sz w:val="24"/>
              </w:rPr>
            </w:pPr>
          </w:p>
        </w:tc>
        <w:tc>
          <w:tcPr>
            <w:tcW w:w="3543" w:type="dxa"/>
            <w:gridSpan w:val="8"/>
            <w:tcBorders>
              <w:top w:val="single" w:color="000000" w:sz="8" w:space="0"/>
              <w:left w:val="nil"/>
              <w:bottom w:val="single" w:color="000000" w:sz="8" w:space="0"/>
              <w:right w:val="single" w:color="000000" w:sz="8" w:space="0"/>
            </w:tcBorders>
            <w:vAlign w:val="center"/>
          </w:tcPr>
          <w:p>
            <w:pPr>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推进全国综治优秀市创建，加强平安自贡建设；确保全市社会大局稳定。</w:t>
            </w:r>
          </w:p>
          <w:p>
            <w:pPr>
              <w:widowControl/>
              <w:spacing w:line="240" w:lineRule="exact"/>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142" w:type="dxa"/>
          <w:trHeight w:val="1440" w:hRule="atLeast"/>
        </w:trPr>
        <w:tc>
          <w:tcPr>
            <w:tcW w:w="1593" w:type="dxa"/>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绩效指标完成情况</w:t>
            </w:r>
          </w:p>
        </w:tc>
        <w:tc>
          <w:tcPr>
            <w:tcW w:w="1627"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一级指标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二级指标</w:t>
            </w:r>
          </w:p>
        </w:tc>
        <w:tc>
          <w:tcPr>
            <w:tcW w:w="1121"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三级指标</w:t>
            </w:r>
          </w:p>
        </w:tc>
        <w:tc>
          <w:tcPr>
            <w:tcW w:w="1842"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701"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108" w:type="dxa"/>
            <w:bottom w:w="0" w:type="dxa"/>
            <w:right w:w="108" w:type="dxa"/>
          </w:tblCellMar>
        </w:tblPrEx>
        <w:trPr>
          <w:gridAfter w:val="1"/>
          <w:wAfter w:w="142" w:type="dxa"/>
          <w:trHeight w:val="58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627"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121"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842"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142" w:type="dxa"/>
          <w:trHeight w:val="58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627"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121"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842"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142" w:type="dxa"/>
          <w:trHeight w:val="58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627"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121"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842"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142" w:type="dxa"/>
          <w:trHeight w:val="58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627"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121"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842"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142" w:type="dxa"/>
          <w:trHeight w:val="58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627"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121"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842"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142" w:type="dxa"/>
          <w:trHeight w:val="34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627"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121"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842"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142" w:type="dxa"/>
          <w:trHeight w:val="40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627"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121"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842"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142" w:type="dxa"/>
          <w:trHeight w:val="58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627"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121"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842"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2"/>
          <w:wAfter w:w="283" w:type="dxa"/>
          <w:trHeight w:val="450" w:hRule="atLeast"/>
        </w:trPr>
        <w:tc>
          <w:tcPr>
            <w:tcW w:w="8823" w:type="dxa"/>
            <w:gridSpan w:val="16"/>
            <w:tcBorders>
              <w:top w:val="nil"/>
              <w:left w:val="nil"/>
              <w:bottom w:val="nil"/>
              <w:right w:val="nil"/>
            </w:tcBorders>
            <w:vAlign w:val="center"/>
          </w:tcPr>
          <w:p>
            <w:pPr>
              <w:widowControl/>
              <w:spacing w:line="540" w:lineRule="exact"/>
              <w:jc w:val="center"/>
              <w:textAlignment w:val="center"/>
              <w:rPr>
                <w:rFonts w:ascii="宋体" w:hAnsi="宋体" w:cs="宋体"/>
                <w:b/>
                <w:bCs/>
                <w:color w:val="000000"/>
                <w:kern w:val="0"/>
                <w:sz w:val="36"/>
                <w:szCs w:val="36"/>
              </w:rPr>
            </w:pPr>
          </w:p>
          <w:p>
            <w:pPr>
              <w:widowControl/>
              <w:spacing w:line="540" w:lineRule="exact"/>
              <w:jc w:val="center"/>
              <w:textAlignment w:val="center"/>
              <w:rPr>
                <w:rFonts w:ascii="宋体" w:hAnsi="宋体" w:cs="宋体"/>
                <w:b/>
                <w:bCs/>
                <w:color w:val="000000"/>
                <w:kern w:val="0"/>
                <w:sz w:val="36"/>
                <w:szCs w:val="36"/>
              </w:rPr>
            </w:pPr>
          </w:p>
          <w:p>
            <w:pPr>
              <w:widowControl/>
              <w:spacing w:line="540" w:lineRule="exact"/>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gridAfter w:val="2"/>
          <w:wAfter w:w="283" w:type="dxa"/>
          <w:trHeight w:val="465" w:hRule="atLeast"/>
        </w:trPr>
        <w:tc>
          <w:tcPr>
            <w:tcW w:w="8823" w:type="dxa"/>
            <w:gridSpan w:val="16"/>
            <w:tcBorders>
              <w:top w:val="nil"/>
              <w:left w:val="nil"/>
              <w:bottom w:val="single" w:color="000000" w:sz="8" w:space="0"/>
              <w:right w:val="nil"/>
            </w:tcBorders>
            <w:vAlign w:val="center"/>
          </w:tcPr>
          <w:p>
            <w:pPr>
              <w:widowControl/>
              <w:spacing w:line="540" w:lineRule="exact"/>
              <w:jc w:val="center"/>
              <w:textAlignment w:val="center"/>
              <w:rPr>
                <w:rFonts w:ascii="宋体" w:hAnsi="宋体" w:cs="宋体"/>
                <w:b/>
                <w:bCs/>
                <w:color w:val="000000"/>
                <w:kern w:val="0"/>
                <w:sz w:val="36"/>
                <w:szCs w:val="36"/>
              </w:rPr>
            </w:pPr>
            <w:r>
              <w:rPr>
                <w:rFonts w:ascii="宋体" w:hAnsi="宋体" w:cs="宋体"/>
                <w:b/>
                <w:bCs/>
                <w:color w:val="000000"/>
                <w:kern w:val="0"/>
                <w:sz w:val="36"/>
                <w:szCs w:val="36"/>
              </w:rPr>
              <w:t>(20</w:t>
            </w:r>
            <w:r>
              <w:rPr>
                <w:rFonts w:hint="eastAsia" w:ascii="宋体" w:hAnsi="宋体" w:cs="宋体"/>
                <w:b/>
                <w:bCs/>
                <w:color w:val="000000"/>
                <w:kern w:val="0"/>
                <w:sz w:val="36"/>
                <w:szCs w:val="36"/>
              </w:rPr>
              <w:t>20</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年度</w:t>
            </w:r>
            <w:r>
              <w:rPr>
                <w:rFonts w:ascii="宋体" w:hAnsi="宋体" w:cs="宋体"/>
                <w:b/>
                <w:bCs/>
                <w:color w:val="000000"/>
                <w:kern w:val="0"/>
                <w:sz w:val="36"/>
                <w:szCs w:val="36"/>
              </w:rPr>
              <w:t>)</w:t>
            </w:r>
          </w:p>
        </w:tc>
      </w:tr>
      <w:tr>
        <w:tblPrEx>
          <w:tblCellMar>
            <w:top w:w="0" w:type="dxa"/>
            <w:left w:w="108" w:type="dxa"/>
            <w:bottom w:w="0" w:type="dxa"/>
            <w:right w:w="108" w:type="dxa"/>
          </w:tblCellMar>
        </w:tblPrEx>
        <w:trPr>
          <w:gridAfter w:val="2"/>
          <w:wAfter w:w="283" w:type="dxa"/>
          <w:trHeight w:val="300" w:hRule="atLeast"/>
        </w:trPr>
        <w:tc>
          <w:tcPr>
            <w:tcW w:w="4000" w:type="dxa"/>
            <w:gridSpan w:val="7"/>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项目名称</w:t>
            </w:r>
          </w:p>
        </w:tc>
        <w:tc>
          <w:tcPr>
            <w:tcW w:w="4823" w:type="dxa"/>
            <w:gridSpan w:val="9"/>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ascii="宋体" w:hAnsi="宋体" w:cs="宋体"/>
                <w:color w:val="000000"/>
                <w:kern w:val="0"/>
                <w:sz w:val="24"/>
              </w:rPr>
              <w:t xml:space="preserve">5. </w:t>
            </w:r>
            <w:r>
              <w:rPr>
                <w:rFonts w:hint="eastAsia" w:ascii="宋体" w:hAnsi="宋体" w:cs="宋体"/>
                <w:color w:val="000000"/>
                <w:kern w:val="0"/>
                <w:sz w:val="24"/>
              </w:rPr>
              <w:t>扫黑除恶专项斗争</w:t>
            </w:r>
          </w:p>
        </w:tc>
      </w:tr>
      <w:tr>
        <w:tblPrEx>
          <w:tblCellMar>
            <w:top w:w="0" w:type="dxa"/>
            <w:left w:w="108" w:type="dxa"/>
            <w:bottom w:w="0" w:type="dxa"/>
            <w:right w:w="108" w:type="dxa"/>
          </w:tblCellMar>
        </w:tblPrEx>
        <w:trPr>
          <w:gridAfter w:val="2"/>
          <w:wAfter w:w="283" w:type="dxa"/>
          <w:trHeight w:val="300" w:hRule="atLeast"/>
        </w:trPr>
        <w:tc>
          <w:tcPr>
            <w:tcW w:w="4000" w:type="dxa"/>
            <w:gridSpan w:val="7"/>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预算单位</w:t>
            </w:r>
          </w:p>
        </w:tc>
        <w:tc>
          <w:tcPr>
            <w:tcW w:w="4823" w:type="dxa"/>
            <w:gridSpan w:val="9"/>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市委政法委</w:t>
            </w:r>
          </w:p>
        </w:tc>
      </w:tr>
      <w:tr>
        <w:tblPrEx>
          <w:tblCellMar>
            <w:top w:w="0" w:type="dxa"/>
            <w:left w:w="108" w:type="dxa"/>
            <w:bottom w:w="0" w:type="dxa"/>
            <w:right w:w="108" w:type="dxa"/>
          </w:tblCellMar>
        </w:tblPrEx>
        <w:trPr>
          <w:gridAfter w:val="2"/>
          <w:wAfter w:w="283" w:type="dxa"/>
          <w:trHeight w:val="300" w:hRule="atLeast"/>
        </w:trPr>
        <w:tc>
          <w:tcPr>
            <w:tcW w:w="1620" w:type="dxa"/>
            <w:gridSpan w:val="2"/>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80" w:type="dxa"/>
            <w:gridSpan w:val="5"/>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37元</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37万元</w:t>
            </w:r>
          </w:p>
        </w:tc>
      </w:tr>
      <w:tr>
        <w:tblPrEx>
          <w:tblCellMar>
            <w:top w:w="0" w:type="dxa"/>
            <w:left w:w="108" w:type="dxa"/>
            <w:bottom w:w="0" w:type="dxa"/>
            <w:right w:w="108" w:type="dxa"/>
          </w:tblCellMar>
        </w:tblPrEx>
        <w:trPr>
          <w:gridAfter w:val="2"/>
          <w:wAfter w:w="283" w:type="dxa"/>
          <w:trHeight w:val="58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2380" w:type="dxa"/>
            <w:gridSpan w:val="5"/>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37万元</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283" w:type="dxa"/>
          <w:trHeight w:val="58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2380" w:type="dxa"/>
            <w:gridSpan w:val="5"/>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ascii="宋体" w:hAnsi="宋体" w:cs="宋体"/>
                <w:color w:val="000000"/>
                <w:kern w:val="0"/>
                <w:sz w:val="24"/>
              </w:rPr>
              <w:t>0</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2"/>
          <w:wAfter w:w="283" w:type="dxa"/>
          <w:trHeight w:val="480" w:hRule="atLeast"/>
        </w:trPr>
        <w:tc>
          <w:tcPr>
            <w:tcW w:w="1620" w:type="dxa"/>
            <w:gridSpan w:val="2"/>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年度目标完成情况</w:t>
            </w:r>
          </w:p>
        </w:tc>
        <w:tc>
          <w:tcPr>
            <w:tcW w:w="3860" w:type="dxa"/>
            <w:gridSpan w:val="8"/>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3343" w:type="dxa"/>
            <w:gridSpan w:val="6"/>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实际完成目标</w:t>
            </w:r>
          </w:p>
        </w:tc>
      </w:tr>
      <w:tr>
        <w:tblPrEx>
          <w:tblCellMar>
            <w:top w:w="0" w:type="dxa"/>
            <w:left w:w="108" w:type="dxa"/>
            <w:bottom w:w="0" w:type="dxa"/>
            <w:right w:w="108" w:type="dxa"/>
          </w:tblCellMar>
        </w:tblPrEx>
        <w:trPr>
          <w:gridAfter w:val="2"/>
          <w:wAfter w:w="283" w:type="dxa"/>
          <w:trHeight w:val="277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3860" w:type="dxa"/>
            <w:gridSpan w:val="8"/>
            <w:tcBorders>
              <w:top w:val="single" w:color="000000" w:sz="8" w:space="0"/>
              <w:left w:val="nil"/>
              <w:bottom w:val="single" w:color="000000" w:sz="8" w:space="0"/>
              <w:right w:val="single" w:color="000000" w:sz="8" w:space="0"/>
            </w:tcBorders>
            <w:vAlign w:val="center"/>
          </w:tcPr>
          <w:p>
            <w:pPr>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纵深推进扫黑除恶专项斗争，增强人民群众获得感、幸福感、安全感。</w:t>
            </w:r>
          </w:p>
        </w:tc>
        <w:tc>
          <w:tcPr>
            <w:tcW w:w="3343" w:type="dxa"/>
            <w:gridSpan w:val="6"/>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纵深推进扫黑除恶专项斗争，增强人民群众获得感、幸福感、安全感。</w:t>
            </w:r>
          </w:p>
        </w:tc>
      </w:tr>
      <w:tr>
        <w:tblPrEx>
          <w:tblCellMar>
            <w:top w:w="0" w:type="dxa"/>
            <w:left w:w="108" w:type="dxa"/>
            <w:bottom w:w="0" w:type="dxa"/>
            <w:right w:w="108" w:type="dxa"/>
          </w:tblCellMar>
        </w:tblPrEx>
        <w:trPr>
          <w:gridAfter w:val="2"/>
          <w:wAfter w:w="283" w:type="dxa"/>
          <w:trHeight w:val="1440" w:hRule="atLeast"/>
        </w:trPr>
        <w:tc>
          <w:tcPr>
            <w:tcW w:w="1620" w:type="dxa"/>
            <w:gridSpan w:val="2"/>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绩效指标完成情况</w:t>
            </w: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一级指标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二级指标</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三级指标</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108" w:type="dxa"/>
            <w:bottom w:w="0" w:type="dxa"/>
            <w:right w:w="108" w:type="dxa"/>
          </w:tblCellMar>
        </w:tblPrEx>
        <w:trPr>
          <w:gridAfter w:val="2"/>
          <w:wAfter w:w="283" w:type="dxa"/>
          <w:trHeight w:val="58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2"/>
          <w:wAfter w:w="283" w:type="dxa"/>
          <w:trHeight w:val="58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2"/>
          <w:wAfter w:w="283" w:type="dxa"/>
          <w:trHeight w:val="58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2"/>
          <w:wAfter w:w="283" w:type="dxa"/>
          <w:trHeight w:val="58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2"/>
          <w:wAfter w:w="283" w:type="dxa"/>
          <w:trHeight w:val="58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2"/>
          <w:wAfter w:w="283" w:type="dxa"/>
          <w:trHeight w:val="34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2"/>
          <w:wAfter w:w="283" w:type="dxa"/>
          <w:trHeight w:val="40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2"/>
          <w:wAfter w:w="283" w:type="dxa"/>
          <w:trHeight w:val="58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bl>
    <w:p>
      <w:pPr>
        <w:spacing w:line="580" w:lineRule="exact"/>
        <w:rPr>
          <w:rFonts w:ascii="仿宋_GB2312" w:hAnsi="仿宋_GB2312" w:cs="仿宋_GB2312"/>
          <w:szCs w:val="32"/>
        </w:rPr>
      </w:pPr>
    </w:p>
    <w:p>
      <w:pPr>
        <w:spacing w:line="580" w:lineRule="exact"/>
        <w:ind w:left="630"/>
        <w:rPr>
          <w:rFonts w:ascii="楷体_GB2312" w:hAnsi="楷体_GB2312" w:eastAsia="楷体_GB2312" w:cs="楷体_GB2312"/>
          <w:szCs w:val="32"/>
        </w:rPr>
      </w:pPr>
    </w:p>
    <w:p>
      <w:pPr>
        <w:spacing w:line="580" w:lineRule="exact"/>
        <w:ind w:left="630"/>
        <w:rPr>
          <w:rFonts w:ascii="楷体_GB2312" w:hAnsi="楷体_GB2312" w:eastAsia="楷体_GB2312" w:cs="楷体_GB2312"/>
          <w:szCs w:val="32"/>
        </w:rPr>
      </w:pPr>
    </w:p>
    <w:p>
      <w:pPr>
        <w:spacing w:line="580" w:lineRule="exact"/>
        <w:ind w:left="630"/>
        <w:rPr>
          <w:rFonts w:ascii="仿宋_GB2312" w:hAnsi="仿宋_GB2312" w:cs="仿宋_GB2312"/>
          <w:szCs w:val="32"/>
        </w:rPr>
      </w:pPr>
      <w:r>
        <w:rPr>
          <w:rFonts w:hint="eastAsia" w:ascii="楷体_GB2312" w:hAnsi="楷体_GB2312" w:eastAsia="楷体_GB2312" w:cs="楷体_GB2312"/>
          <w:szCs w:val="32"/>
        </w:rPr>
        <w:t>2.部门绩效评价结果。</w:t>
      </w:r>
    </w:p>
    <w:p>
      <w:pPr>
        <w:spacing w:line="580" w:lineRule="exact"/>
        <w:ind w:firstLine="640" w:firstLineChars="200"/>
        <w:rPr>
          <w:rFonts w:ascii="仿宋_GB2312" w:hAnsi="仿宋_GB2312" w:cs="仿宋_GB2312"/>
          <w:szCs w:val="32"/>
        </w:rPr>
      </w:pPr>
      <w:r>
        <w:rPr>
          <w:rFonts w:hint="eastAsia" w:ascii="仿宋_GB2312" w:hAnsi="仿宋_GB2312" w:cs="仿宋_GB2312"/>
          <w:szCs w:val="32"/>
        </w:rPr>
        <w:t>本部门按要求对2020年部门整体支出绩效评价情况开展自评，《中共市委政法委员会部门2020年部门整体支出绩效评价报告》见附件（附件1）。</w:t>
      </w:r>
    </w:p>
    <w:p>
      <w:pPr>
        <w:spacing w:line="580" w:lineRule="exact"/>
        <w:ind w:firstLine="640" w:firstLineChars="200"/>
        <w:rPr>
          <w:rFonts w:ascii="仿宋_GB2312"/>
          <w:b/>
          <w:color w:val="000000"/>
          <w:szCs w:val="32"/>
        </w:rPr>
      </w:pPr>
      <w:r>
        <w:rPr>
          <w:rFonts w:hint="eastAsia" w:ascii="仿宋_GB2312" w:hAnsi="仿宋_GB2312" w:cs="仿宋_GB2312"/>
          <w:szCs w:val="32"/>
        </w:rPr>
        <w:t>本部门自行组织对平安建设项目开展了绩效评价，《平安建设项目2020年绩效评价报告》等见附件（附件2）。</w:t>
      </w:r>
    </w:p>
    <w:p>
      <w:pPr>
        <w:widowControl/>
        <w:jc w:val="left"/>
        <w:rPr>
          <w:rFonts w:ascii="仿宋_GB2312"/>
          <w:b/>
          <w:color w:val="000000"/>
          <w:szCs w:val="32"/>
        </w:rPr>
      </w:pPr>
      <w:r>
        <w:rPr>
          <w:rFonts w:ascii="仿宋_GB2312"/>
          <w:b/>
          <w:color w:val="000000"/>
          <w:szCs w:val="32"/>
        </w:rPr>
        <w:br w:type="page"/>
      </w:r>
    </w:p>
    <w:p>
      <w:pPr>
        <w:numPr>
          <w:ilvl w:val="0"/>
          <w:numId w:val="4"/>
        </w:numPr>
        <w:spacing w:line="600" w:lineRule="exact"/>
        <w:jc w:val="center"/>
        <w:outlineLvl w:val="0"/>
        <w:rPr>
          <w:rStyle w:val="50"/>
          <w:rFonts w:ascii="黑体" w:hAnsi="黑体" w:eastAsia="黑体"/>
          <w:b w:val="0"/>
        </w:rPr>
      </w:pPr>
      <w:bookmarkStart w:id="71" w:name="_Toc15396613"/>
      <w:bookmarkStart w:id="72" w:name="_Toc15377225"/>
      <w:bookmarkStart w:id="73" w:name="_Toc49975939"/>
      <w:bookmarkStart w:id="74" w:name="_Toc49976126"/>
      <w:r>
        <w:rPr>
          <w:rStyle w:val="50"/>
          <w:rFonts w:hint="eastAsia" w:ascii="黑体" w:hAnsi="黑体" w:eastAsia="黑体"/>
        </w:rPr>
        <w:t>名词解释</w:t>
      </w:r>
      <w:bookmarkEnd w:id="71"/>
      <w:bookmarkEnd w:id="72"/>
      <w:bookmarkEnd w:id="73"/>
      <w:bookmarkEnd w:id="74"/>
    </w:p>
    <w:p>
      <w:pPr>
        <w:spacing w:line="600" w:lineRule="exact"/>
        <w:jc w:val="left"/>
        <w:rPr>
          <w:rFonts w:ascii="宋体"/>
          <w:b/>
          <w:color w:val="000000"/>
          <w:sz w:val="44"/>
          <w:szCs w:val="44"/>
        </w:rPr>
      </w:pPr>
    </w:p>
    <w:p>
      <w:pPr>
        <w:pStyle w:val="5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color w:val="000000"/>
          <w:szCs w:val="32"/>
        </w:rPr>
      </w:pPr>
      <w:r>
        <w:rPr>
          <w:rFonts w:hint="eastAsia" w:ascii="仿宋_GB2312"/>
          <w:color w:val="000000"/>
          <w:szCs w:val="32"/>
        </w:rPr>
        <w:t>9</w:t>
      </w:r>
      <w:r>
        <w:rPr>
          <w:rFonts w:ascii="仿宋_GB2312"/>
          <w:color w:val="000000"/>
          <w:szCs w:val="32"/>
        </w:rPr>
        <w:t>.</w:t>
      </w:r>
      <w:r>
        <w:rPr>
          <w:rFonts w:hint="eastAsia" w:ascii="仿宋_GB2312"/>
          <w:color w:val="000000"/>
          <w:szCs w:val="32"/>
        </w:rPr>
        <w:t>公共安全：</w:t>
      </w:r>
    </w:p>
    <w:p>
      <w:pPr>
        <w:ind w:firstLine="640" w:firstLineChars="200"/>
        <w:rPr>
          <w:rFonts w:ascii="仿宋_GB2312"/>
          <w:color w:val="000000"/>
          <w:szCs w:val="32"/>
        </w:rPr>
      </w:pPr>
      <w:r>
        <w:rPr>
          <w:rFonts w:hint="eastAsia" w:ascii="仿宋_GB2312"/>
          <w:color w:val="000000"/>
          <w:szCs w:val="32"/>
        </w:rPr>
        <w:t>（1）2040201行政运行：指行政单位的基本支出；</w:t>
      </w:r>
    </w:p>
    <w:p>
      <w:pPr>
        <w:ind w:firstLine="640" w:firstLineChars="200"/>
        <w:rPr>
          <w:rFonts w:ascii="仿宋_GB2312"/>
          <w:color w:val="000000"/>
          <w:szCs w:val="32"/>
        </w:rPr>
      </w:pPr>
      <w:r>
        <w:rPr>
          <w:rFonts w:hint="eastAsia" w:ascii="仿宋_GB2312"/>
          <w:color w:val="000000"/>
          <w:szCs w:val="32"/>
        </w:rPr>
        <w:t>（2）2040202一般行政管理事务：指行政单位未单独设置项级科目的其他项目支出；</w:t>
      </w:r>
    </w:p>
    <w:p>
      <w:pPr>
        <w:ind w:firstLine="640" w:firstLineChars="200"/>
        <w:rPr>
          <w:rFonts w:ascii="仿宋_GB2312"/>
          <w:color w:val="000000"/>
          <w:szCs w:val="32"/>
        </w:rPr>
      </w:pPr>
      <w:r>
        <w:rPr>
          <w:rFonts w:hint="eastAsia" w:ascii="仿宋_GB2312"/>
          <w:color w:val="000000"/>
          <w:szCs w:val="32"/>
        </w:rPr>
        <w:t>（3）2040250事业运行：指事业单位的基本支出；</w:t>
      </w:r>
    </w:p>
    <w:p>
      <w:pPr>
        <w:ind w:firstLine="640" w:firstLineChars="200"/>
        <w:rPr>
          <w:rFonts w:ascii="仿宋_GB2312"/>
          <w:color w:val="000000"/>
          <w:szCs w:val="32"/>
        </w:rPr>
      </w:pPr>
      <w:r>
        <w:rPr>
          <w:rFonts w:hint="eastAsia" w:ascii="仿宋_GB2312"/>
          <w:color w:val="000000"/>
          <w:szCs w:val="32"/>
        </w:rPr>
        <w:t>（4）2040299其他公安支出：指除上述项目以外其他用于公安方面的支出。</w:t>
      </w:r>
    </w:p>
    <w:p>
      <w:pPr>
        <w:ind w:firstLine="640" w:firstLineChars="200"/>
        <w:rPr>
          <w:rFonts w:ascii="仿宋_GB2312"/>
          <w:color w:val="000000"/>
          <w:szCs w:val="32"/>
        </w:rPr>
      </w:pPr>
      <w:r>
        <w:rPr>
          <w:rFonts w:ascii="仿宋_GB2312"/>
          <w:color w:val="000000"/>
          <w:szCs w:val="32"/>
        </w:rPr>
        <w:t>1</w:t>
      </w:r>
      <w:r>
        <w:rPr>
          <w:rFonts w:hint="eastAsia" w:ascii="仿宋_GB2312"/>
          <w:color w:val="000000"/>
          <w:szCs w:val="32"/>
        </w:rPr>
        <w:t>0</w:t>
      </w:r>
      <w:r>
        <w:rPr>
          <w:rFonts w:ascii="仿宋_GB2312"/>
          <w:color w:val="000000"/>
          <w:szCs w:val="32"/>
        </w:rPr>
        <w:t>.</w:t>
      </w:r>
      <w:r>
        <w:rPr>
          <w:rFonts w:hint="eastAsia" w:ascii="仿宋_GB2312"/>
          <w:color w:val="000000"/>
          <w:szCs w:val="32"/>
        </w:rPr>
        <w:t>社会保障和就业：</w:t>
      </w:r>
    </w:p>
    <w:p>
      <w:pPr>
        <w:ind w:firstLine="640" w:firstLineChars="200"/>
        <w:rPr>
          <w:rFonts w:ascii="仿宋_GB2312"/>
          <w:color w:val="000000"/>
          <w:szCs w:val="32"/>
        </w:rPr>
      </w:pPr>
      <w:r>
        <w:rPr>
          <w:rFonts w:hint="eastAsia" w:ascii="仿宋_GB2312"/>
          <w:color w:val="000000"/>
          <w:szCs w:val="32"/>
        </w:rPr>
        <w:t>（1）2080501行政事业单位离退休：指行政单位开支的离退休经费；</w:t>
      </w:r>
    </w:p>
    <w:p>
      <w:pPr>
        <w:ind w:firstLine="640" w:firstLineChars="200"/>
        <w:rPr>
          <w:rFonts w:ascii="仿宋_GB2312"/>
          <w:color w:val="000000"/>
          <w:szCs w:val="32"/>
        </w:rPr>
      </w:pPr>
      <w:r>
        <w:rPr>
          <w:rFonts w:hint="eastAsia" w:ascii="仿宋_GB2312"/>
          <w:color w:val="000000"/>
          <w:szCs w:val="32"/>
        </w:rPr>
        <w:t>（2）2080505机关事业单位基本养老保险缴费支出：指机关事业单位实施养老保险制度由单位缴纳的基本养老保险支出；</w:t>
      </w:r>
    </w:p>
    <w:p>
      <w:pPr>
        <w:ind w:firstLine="640" w:firstLineChars="200"/>
        <w:rPr>
          <w:rFonts w:ascii="仿宋_GB2312"/>
          <w:color w:val="000000"/>
          <w:szCs w:val="32"/>
        </w:rPr>
      </w:pPr>
      <w:r>
        <w:rPr>
          <w:rFonts w:hint="eastAsia" w:ascii="仿宋_GB2312"/>
          <w:color w:val="000000"/>
          <w:szCs w:val="32"/>
        </w:rPr>
        <w:t>（3）2080506机关事业单位职业年金缴费支出：指机关事业单位实施养老保险制度由单位实际缴纳的职业年金支出。</w:t>
      </w:r>
    </w:p>
    <w:p>
      <w:pPr>
        <w:ind w:firstLine="640" w:firstLineChars="200"/>
        <w:rPr>
          <w:rFonts w:ascii="仿宋_GB2312"/>
          <w:color w:val="000000"/>
          <w:szCs w:val="32"/>
        </w:rPr>
      </w:pPr>
      <w:r>
        <w:rPr>
          <w:rFonts w:ascii="仿宋_GB2312"/>
          <w:color w:val="000000"/>
          <w:szCs w:val="32"/>
        </w:rPr>
        <w:t>1</w:t>
      </w:r>
      <w:r>
        <w:rPr>
          <w:rFonts w:hint="eastAsia" w:ascii="仿宋_GB2312"/>
          <w:color w:val="000000"/>
          <w:szCs w:val="32"/>
        </w:rPr>
        <w:t>1</w:t>
      </w:r>
      <w:r>
        <w:rPr>
          <w:rFonts w:ascii="仿宋_GB2312"/>
          <w:color w:val="000000"/>
          <w:szCs w:val="32"/>
        </w:rPr>
        <w:t>.</w:t>
      </w:r>
      <w:r>
        <w:rPr>
          <w:rFonts w:hint="eastAsia" w:ascii="仿宋_GB2312"/>
          <w:color w:val="000000"/>
          <w:szCs w:val="32"/>
        </w:rPr>
        <w:t>医疗卫生与计划生育：</w:t>
      </w:r>
    </w:p>
    <w:p>
      <w:pPr>
        <w:ind w:firstLine="640" w:firstLineChars="200"/>
        <w:rPr>
          <w:rFonts w:ascii="仿宋_GB2312"/>
          <w:color w:val="000000"/>
          <w:szCs w:val="32"/>
        </w:rPr>
      </w:pPr>
      <w:r>
        <w:rPr>
          <w:rFonts w:hint="eastAsia" w:ascii="仿宋_GB2312"/>
          <w:color w:val="000000"/>
          <w:szCs w:val="32"/>
        </w:rPr>
        <w:t>（1）2100409重大公共卫生专项：指重大疾病、重大传染病预防控制等重大公共卫生服务项目支出；</w:t>
      </w:r>
    </w:p>
    <w:p>
      <w:pPr>
        <w:ind w:firstLine="640" w:firstLineChars="200"/>
        <w:rPr>
          <w:rFonts w:ascii="仿宋_GB2312"/>
          <w:color w:val="000000"/>
          <w:szCs w:val="32"/>
        </w:rPr>
      </w:pPr>
      <w:r>
        <w:rPr>
          <w:rFonts w:hint="eastAsia" w:ascii="仿宋_GB2312"/>
          <w:color w:val="000000"/>
          <w:szCs w:val="32"/>
        </w:rPr>
        <w:t>（2）2101101行政单位医疗：指财政部门安排的行政单位基本医疗保险缴费经费；</w:t>
      </w:r>
    </w:p>
    <w:p>
      <w:pPr>
        <w:ind w:firstLine="640" w:firstLineChars="200"/>
        <w:rPr>
          <w:rFonts w:ascii="仿宋_GB2312"/>
          <w:color w:val="000000"/>
          <w:szCs w:val="32"/>
        </w:rPr>
      </w:pPr>
      <w:r>
        <w:rPr>
          <w:rFonts w:hint="eastAsia" w:ascii="仿宋_GB2312"/>
          <w:color w:val="000000"/>
          <w:szCs w:val="32"/>
        </w:rPr>
        <w:t>（3）2101102事业单位医疗：指财政部门安排的事业单位基本医疗保险缴费经费。</w:t>
      </w:r>
    </w:p>
    <w:p>
      <w:pPr>
        <w:ind w:firstLine="640" w:firstLineChars="200"/>
        <w:rPr>
          <w:rFonts w:ascii="仿宋_GB2312"/>
          <w:color w:val="000000"/>
          <w:szCs w:val="32"/>
        </w:rPr>
      </w:pPr>
      <w:r>
        <w:rPr>
          <w:rFonts w:hint="eastAsia" w:ascii="仿宋_GB2312"/>
          <w:color w:val="000000"/>
          <w:szCs w:val="32"/>
        </w:rPr>
        <w:t>12</w:t>
      </w:r>
      <w:r>
        <w:rPr>
          <w:rFonts w:ascii="仿宋_GB2312"/>
          <w:color w:val="000000"/>
          <w:szCs w:val="32"/>
        </w:rPr>
        <w:t>.</w:t>
      </w:r>
      <w:r>
        <w:rPr>
          <w:rFonts w:hint="eastAsia" w:ascii="仿宋_GB2312"/>
          <w:color w:val="000000"/>
          <w:szCs w:val="32"/>
        </w:rPr>
        <w:t>住房保障：</w:t>
      </w:r>
    </w:p>
    <w:p>
      <w:pPr>
        <w:ind w:firstLine="640" w:firstLineChars="200"/>
        <w:rPr>
          <w:rFonts w:ascii="仿宋_GB2312"/>
          <w:color w:val="000000"/>
          <w:szCs w:val="32"/>
        </w:rPr>
      </w:pPr>
      <w:r>
        <w:rPr>
          <w:rFonts w:hint="eastAsia" w:ascii="仿宋_GB2312"/>
          <w:color w:val="000000"/>
          <w:szCs w:val="32"/>
        </w:rPr>
        <w:t>（1）2210201住房公积金：指行政事业单位按人力资源和社会保障部、财政部规定的基本工资和津贴补贴以及规定比例为职工缴纳的住房公积金。</w:t>
      </w:r>
    </w:p>
    <w:p>
      <w:pPr>
        <w:ind w:firstLine="640" w:firstLineChars="200"/>
        <w:rPr>
          <w:rFonts w:ascii="仿宋_GB2312"/>
          <w:color w:val="000000"/>
          <w:szCs w:val="32"/>
        </w:rPr>
      </w:pPr>
      <w:r>
        <w:rPr>
          <w:rFonts w:hint="eastAsia" w:ascii="仿宋_GB2312"/>
          <w:color w:val="000000"/>
          <w:szCs w:val="32"/>
        </w:rPr>
        <w:t>13</w:t>
      </w:r>
      <w:r>
        <w:rPr>
          <w:rFonts w:ascii="仿宋_GB2312"/>
          <w:color w:val="000000"/>
          <w:szCs w:val="32"/>
        </w:rPr>
        <w:t>.</w:t>
      </w:r>
      <w:r>
        <w:rPr>
          <w:rFonts w:hint="eastAsia" w:ascii="仿宋_GB2312"/>
          <w:color w:val="000000"/>
          <w:szCs w:val="32"/>
        </w:rPr>
        <w:t>项目支出：指在基本支出之外为完成特定行政任务和事业发展目标所发生的支出。</w:t>
      </w:r>
      <w:r>
        <w:rPr>
          <w:rFonts w:ascii="仿宋_GB2312"/>
          <w:color w:val="000000"/>
          <w:szCs w:val="32"/>
        </w:rPr>
        <w:t xml:space="preserve"> </w:t>
      </w:r>
    </w:p>
    <w:p>
      <w:pPr>
        <w:ind w:firstLine="640" w:firstLineChars="200"/>
        <w:rPr>
          <w:rFonts w:ascii="仿宋_GB2312"/>
          <w:color w:val="000000"/>
          <w:szCs w:val="32"/>
        </w:rPr>
      </w:pPr>
      <w:r>
        <w:rPr>
          <w:rFonts w:hint="eastAsia" w:ascii="仿宋_GB2312"/>
          <w:color w:val="000000"/>
          <w:szCs w:val="32"/>
        </w:rPr>
        <w:t>14</w:t>
      </w:r>
      <w:r>
        <w:rPr>
          <w:rFonts w:ascii="仿宋_GB2312"/>
          <w:color w:val="000000"/>
          <w:szCs w:val="32"/>
        </w:rPr>
        <w:t>.</w:t>
      </w:r>
      <w:r>
        <w:rPr>
          <w:rFonts w:hint="eastAsia" w:ascii="仿宋_GB2312"/>
          <w:color w:val="000000"/>
          <w:szCs w:val="32"/>
        </w:rPr>
        <w:t>经营支出：指事业单位在专业业务活动及其辅助活动之外开展非独立核算经营活动发生的支出。</w:t>
      </w:r>
    </w:p>
    <w:p>
      <w:pPr>
        <w:pStyle w:val="55"/>
        <w:spacing w:line="560" w:lineRule="exact"/>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55"/>
        <w:spacing w:line="560" w:lineRule="exact"/>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Style w:val="50"/>
          <w:rFonts w:ascii="黑体" w:hAnsi="黑体" w:eastAsia="黑体"/>
          <w:b w:val="0"/>
        </w:rPr>
      </w:pPr>
      <w:bookmarkStart w:id="75" w:name="_Toc15377226"/>
      <w:r>
        <w:rPr>
          <w:rFonts w:ascii="宋体"/>
          <w:b/>
          <w:color w:val="000000"/>
          <w:sz w:val="44"/>
          <w:szCs w:val="44"/>
        </w:rPr>
        <w:br w:type="page"/>
      </w:r>
      <w:bookmarkStart w:id="76" w:name="_Toc15396614"/>
      <w:bookmarkStart w:id="77" w:name="_Toc49975940"/>
      <w:bookmarkStart w:id="78" w:name="_Toc49976127"/>
      <w:r>
        <w:rPr>
          <w:rFonts w:hint="eastAsia" w:ascii="黑体" w:hAnsi="黑体" w:eastAsia="黑体"/>
          <w:color w:val="000000"/>
          <w:sz w:val="44"/>
          <w:szCs w:val="44"/>
        </w:rPr>
        <w:t>第</w:t>
      </w:r>
      <w:r>
        <w:rPr>
          <w:rStyle w:val="50"/>
          <w:rFonts w:hint="eastAsia" w:ascii="黑体" w:hAnsi="黑体" w:eastAsia="黑体"/>
        </w:rPr>
        <w:t>四部分 附件</w:t>
      </w:r>
      <w:bookmarkEnd w:id="76"/>
      <w:bookmarkEnd w:id="77"/>
      <w:bookmarkEnd w:id="78"/>
    </w:p>
    <w:p>
      <w:pPr>
        <w:pStyle w:val="4"/>
        <w:rPr>
          <w:rFonts w:ascii="方正小标宋简体" w:hAnsi="方正小标宋简体" w:eastAsia="方正小标宋简体" w:cs="方正小标宋简体"/>
        </w:rPr>
      </w:pPr>
      <w:bookmarkStart w:id="79" w:name="_Toc49975941"/>
      <w:bookmarkStart w:id="80" w:name="_Toc49976128"/>
      <w:r>
        <w:rPr>
          <w:rFonts w:hint="eastAsia" w:ascii="黑体" w:hAnsi="黑体" w:eastAsia="黑体" w:cs="黑体"/>
        </w:rPr>
        <w:t>附件1</w:t>
      </w:r>
      <w:bookmarkEnd w:id="79"/>
      <w:bookmarkEnd w:id="80"/>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中共市委政法委员会</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rPr>
        <w:t>20</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szCs w:val="32"/>
          <w:shd w:val="clear" w:color="auto" w:fill="FFFFFF"/>
        </w:rPr>
      </w:pPr>
      <w:r>
        <w:rPr>
          <w:rFonts w:hint="eastAsia" w:ascii="仿宋_GB2312" w:hAnsi="宋体"/>
          <w:szCs w:val="32"/>
          <w:shd w:val="clear" w:color="auto" w:fill="FFFFFF"/>
        </w:rPr>
        <w:t>（报告范围包括机关和下属单位）</w:t>
      </w:r>
    </w:p>
    <w:p>
      <w:pPr>
        <w:widowControl/>
        <w:adjustRightInd w:val="0"/>
        <w:snapToGrid w:val="0"/>
        <w:spacing w:line="54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40" w:lineRule="exact"/>
        <w:ind w:firstLine="640" w:firstLineChars="200"/>
        <w:contextualSpacing/>
        <w:jc w:val="left"/>
        <w:rPr>
          <w:rFonts w:ascii="黑体" w:hAnsi="宋体" w:eastAsia="黑体" w:cs="宋体"/>
          <w:color w:val="000000"/>
          <w:kern w:val="0"/>
          <w:szCs w:val="32"/>
          <w:shd w:val="clear" w:color="auto" w:fill="FFFFFF"/>
          <w:lang w:val="zh-CN"/>
        </w:rPr>
      </w:pPr>
      <w:r>
        <w:rPr>
          <w:rFonts w:hint="eastAsia" w:ascii="黑体" w:hAnsi="宋体" w:eastAsia="黑体" w:cs="宋体"/>
          <w:color w:val="000000"/>
          <w:kern w:val="0"/>
          <w:szCs w:val="32"/>
          <w:shd w:val="clear" w:color="auto" w:fill="FFFFFF"/>
        </w:rPr>
        <w:t>一、</w:t>
      </w:r>
      <w:r>
        <w:rPr>
          <w:rFonts w:hint="eastAsia" w:ascii="黑体" w:hAnsi="宋体" w:eastAsia="黑体" w:cs="宋体"/>
          <w:color w:val="000000"/>
          <w:kern w:val="0"/>
          <w:szCs w:val="32"/>
          <w:shd w:val="clear" w:color="auto" w:fill="FFFFFF"/>
          <w:lang w:val="zh-CN"/>
        </w:rPr>
        <w:t>部门（单位）概况</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（一）机构组成。</w:t>
      </w:r>
    </w:p>
    <w:p>
      <w:pPr>
        <w:adjustRightInd w:val="0"/>
        <w:snapToGrid w:val="0"/>
        <w:spacing w:line="560" w:lineRule="exact"/>
        <w:ind w:firstLine="640" w:firstLineChars="200"/>
        <w:rPr>
          <w:rFonts w:ascii="仿宋_GB2312"/>
          <w:color w:val="000000"/>
          <w:szCs w:val="32"/>
        </w:rPr>
      </w:pPr>
      <w:r>
        <w:rPr>
          <w:rFonts w:hint="eastAsia" w:ascii="仿宋_GB2312" w:hAnsi="仿宋"/>
          <w:szCs w:val="32"/>
        </w:rPr>
        <w:t>办公室（下设政策研究科）、政治部（下设队伍建设科）、政治安全科（反邪教协调科）、维稳指导科、综治督导科（下设专项行动办公室）、基层社会治理科（下设多元化解办公室）、执法监督科（下设信访办）、宣传指导科、机关党总支、扫黑办、纪检组。</w:t>
      </w:r>
      <w:r>
        <w:rPr>
          <w:rFonts w:hint="eastAsia" w:ascii="仿宋_GB2312"/>
          <w:color w:val="000000"/>
          <w:szCs w:val="32"/>
        </w:rPr>
        <w:t>管理事业单位机构</w:t>
      </w:r>
      <w:r>
        <w:rPr>
          <w:rFonts w:ascii="仿宋_GB2312"/>
          <w:color w:val="000000"/>
          <w:szCs w:val="32"/>
        </w:rPr>
        <w:t>1</w:t>
      </w:r>
      <w:r>
        <w:rPr>
          <w:rFonts w:hint="eastAsia" w:ascii="仿宋_GB2312"/>
          <w:color w:val="000000"/>
          <w:szCs w:val="32"/>
        </w:rPr>
        <w:t>个：自贡市法学会。</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（二）机构职能。</w:t>
      </w:r>
    </w:p>
    <w:p>
      <w:pPr>
        <w:adjustRightInd w:val="0"/>
        <w:snapToGrid w:val="0"/>
        <w:spacing w:line="560" w:lineRule="exact"/>
        <w:ind w:firstLine="640" w:firstLineChars="200"/>
        <w:rPr>
          <w:rFonts w:ascii="方正小标宋简体" w:eastAsia="方正小标宋简体"/>
          <w:color w:val="000000"/>
          <w:sz w:val="44"/>
          <w:szCs w:val="44"/>
        </w:rPr>
      </w:pPr>
      <w:r>
        <w:rPr>
          <w:rFonts w:hint="eastAsia" w:ascii="仿宋_GB2312"/>
          <w:color w:val="000000"/>
          <w:szCs w:val="32"/>
        </w:rPr>
        <w:t>全面深化改革、现代科技应用为动力，扎实推进平安建设、法治建设、过硬队伍建设和智能化建设，履行好维护国家政治安全、确保社会大局稳定、促进社会公平正义、保障人民安居乐业的主要任务，不断提升新时代政法工作能力水平，为建设城乡一体繁荣幸福新自贡创造安全的政治环境、稳定的社会环境、公正的法治环境、优质的服务环境。</w:t>
      </w:r>
      <w:r>
        <w:rPr>
          <w:rFonts w:ascii="仿宋_GB2312"/>
          <w:color w:val="000000"/>
          <w:szCs w:val="32"/>
        </w:rPr>
        <w:t xml:space="preserve"> </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（三）人员概况。</w:t>
      </w:r>
    </w:p>
    <w:p>
      <w:pPr>
        <w:snapToGrid w:val="0"/>
        <w:spacing w:line="520" w:lineRule="exact"/>
        <w:ind w:firstLine="640" w:firstLineChars="200"/>
        <w:rPr>
          <w:rFonts w:ascii="仿宋_GB2312" w:hAnsi="仿宋"/>
          <w:szCs w:val="32"/>
        </w:rPr>
      </w:pPr>
      <w:r>
        <w:rPr>
          <w:rFonts w:hint="eastAsia" w:ascii="仿宋_GB2312" w:hAnsi="仿宋"/>
          <w:szCs w:val="32"/>
        </w:rPr>
        <w:t>市委政法委部门总编制35名，其中行政编制25名，事业编制</w:t>
      </w:r>
      <w:r>
        <w:rPr>
          <w:rFonts w:hint="eastAsia" w:ascii="仿宋_GB2312" w:hAnsi="仿宋"/>
          <w:szCs w:val="32"/>
          <w:lang w:val="en-US" w:eastAsia="zh-CN"/>
        </w:rPr>
        <w:t>8</w:t>
      </w:r>
      <w:r>
        <w:rPr>
          <w:rFonts w:hint="eastAsia" w:ascii="仿宋_GB2312" w:hAnsi="仿宋"/>
          <w:szCs w:val="32"/>
        </w:rPr>
        <w:t>名。机关行政编制25个，工勤编制2个。人员变动情况：事业单位在岗编制8人，2020年新进入</w:t>
      </w:r>
      <w:r>
        <w:rPr>
          <w:rFonts w:hint="eastAsia" w:ascii="仿宋_GB2312" w:hAnsi="仿宋"/>
          <w:szCs w:val="32"/>
          <w:lang w:val="en-US" w:eastAsia="zh-CN"/>
        </w:rPr>
        <w:t>2</w:t>
      </w:r>
      <w:r>
        <w:rPr>
          <w:rFonts w:hint="eastAsia" w:ascii="仿宋_GB2312" w:hAnsi="仿宋"/>
          <w:szCs w:val="32"/>
        </w:rPr>
        <w:t>人。</w:t>
      </w:r>
    </w:p>
    <w:p>
      <w:pPr>
        <w:widowControl/>
        <w:adjustRightInd w:val="0"/>
        <w:snapToGrid w:val="0"/>
        <w:spacing w:line="540" w:lineRule="exact"/>
        <w:ind w:firstLine="640" w:firstLineChars="200"/>
        <w:contextualSpacing/>
        <w:jc w:val="left"/>
        <w:rPr>
          <w:rFonts w:ascii="黑体" w:hAnsi="宋体" w:eastAsia="黑体" w:cs="宋体"/>
          <w:color w:val="000000"/>
          <w:kern w:val="0"/>
          <w:szCs w:val="32"/>
          <w:shd w:val="clear" w:color="auto" w:fill="FFFFFF"/>
        </w:rPr>
      </w:pPr>
      <w:r>
        <w:rPr>
          <w:rFonts w:hint="eastAsia" w:ascii="黑体" w:hAnsi="宋体" w:eastAsia="黑体" w:cs="宋体"/>
          <w:color w:val="000000"/>
          <w:kern w:val="0"/>
          <w:szCs w:val="32"/>
          <w:shd w:val="clear" w:color="auto" w:fill="FFFFFF"/>
        </w:rPr>
        <w:t>二、部门财政资金收支情况</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（一）部门财政资金收入情况。</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20</w:t>
      </w:r>
      <w:r>
        <w:rPr>
          <w:rFonts w:hint="eastAsia" w:ascii="仿宋" w:hAnsi="仿宋" w:eastAsia="仿宋"/>
          <w:color w:val="000000"/>
          <w:szCs w:val="32"/>
        </w:rPr>
        <w:t>20年本年收入合计</w:t>
      </w:r>
      <w:r>
        <w:rPr>
          <w:rFonts w:hint="eastAsia" w:ascii="仿宋" w:hAnsi="仿宋" w:eastAsia="仿宋"/>
          <w:color w:val="000000"/>
          <w:szCs w:val="32"/>
          <w:lang w:val="en-US" w:eastAsia="zh-CN"/>
        </w:rPr>
        <w:t>1518.39</w:t>
      </w:r>
      <w:r>
        <w:rPr>
          <w:rFonts w:hint="eastAsia" w:ascii="仿宋" w:hAnsi="仿宋" w:eastAsia="仿宋"/>
          <w:color w:val="000000"/>
          <w:szCs w:val="32"/>
        </w:rPr>
        <w:t>万元，其中：一般公共预算财政拨款收入1</w:t>
      </w:r>
      <w:r>
        <w:rPr>
          <w:rFonts w:hint="eastAsia" w:ascii="仿宋" w:hAnsi="仿宋" w:eastAsia="仿宋"/>
          <w:color w:val="000000"/>
          <w:szCs w:val="32"/>
          <w:lang w:val="en-US" w:eastAsia="zh-CN"/>
        </w:rPr>
        <w:t>1483.12</w:t>
      </w:r>
      <w:r>
        <w:rPr>
          <w:rFonts w:hint="eastAsia" w:ascii="仿宋" w:hAnsi="仿宋" w:eastAsia="仿宋"/>
          <w:color w:val="000000"/>
          <w:szCs w:val="32"/>
        </w:rPr>
        <w:t>万元，占</w:t>
      </w:r>
      <w:r>
        <w:rPr>
          <w:rFonts w:hint="eastAsia" w:ascii="仿宋" w:hAnsi="仿宋" w:eastAsia="仿宋"/>
          <w:color w:val="000000"/>
          <w:szCs w:val="32"/>
          <w:lang w:val="en-US" w:eastAsia="zh-CN"/>
        </w:rPr>
        <w:t>97.7</w:t>
      </w:r>
      <w:r>
        <w:rPr>
          <w:rFonts w:ascii="仿宋" w:hAnsi="仿宋" w:eastAsia="仿宋"/>
          <w:color w:val="000000"/>
          <w:szCs w:val="32"/>
        </w:rPr>
        <w:t>%</w:t>
      </w:r>
      <w:r>
        <w:rPr>
          <w:rFonts w:hint="eastAsia" w:ascii="仿宋" w:hAnsi="仿宋" w:eastAsia="仿宋"/>
          <w:color w:val="000000"/>
          <w:szCs w:val="32"/>
        </w:rPr>
        <w:t>；年初财政拨款结转和结余</w:t>
      </w:r>
      <w:r>
        <w:rPr>
          <w:rFonts w:hint="eastAsia" w:ascii="仿宋" w:hAnsi="仿宋" w:eastAsia="仿宋"/>
          <w:color w:val="000000"/>
          <w:szCs w:val="32"/>
          <w:lang w:val="en-US" w:eastAsia="zh-CN"/>
        </w:rPr>
        <w:t>35.27</w:t>
      </w:r>
      <w:r>
        <w:rPr>
          <w:rFonts w:hint="eastAsia" w:ascii="仿宋" w:hAnsi="仿宋" w:eastAsia="仿宋"/>
          <w:color w:val="000000"/>
          <w:szCs w:val="32"/>
        </w:rPr>
        <w:t>万元，占</w:t>
      </w:r>
      <w:r>
        <w:rPr>
          <w:rFonts w:hint="eastAsia" w:ascii="仿宋" w:hAnsi="仿宋" w:eastAsia="仿宋"/>
          <w:color w:val="000000"/>
          <w:szCs w:val="32"/>
          <w:lang w:val="en-US" w:eastAsia="zh-CN"/>
        </w:rPr>
        <w:t>2.3</w:t>
      </w:r>
      <w:r>
        <w:rPr>
          <w:rFonts w:hint="eastAsia" w:ascii="仿宋" w:hAnsi="仿宋" w:eastAsia="仿宋"/>
          <w:color w:val="000000"/>
          <w:szCs w:val="32"/>
        </w:rPr>
        <w:t>%；政府性基金预算财政拨款收入0万元，占0.00</w:t>
      </w:r>
      <w:r>
        <w:rPr>
          <w:rFonts w:ascii="仿宋" w:hAnsi="仿宋" w:eastAsia="仿宋"/>
          <w:color w:val="000000"/>
          <w:szCs w:val="32"/>
        </w:rPr>
        <w:t>%</w:t>
      </w:r>
      <w:r>
        <w:rPr>
          <w:rFonts w:hint="eastAsia" w:ascii="仿宋" w:hAnsi="仿宋" w:eastAsia="仿宋"/>
          <w:color w:val="000000"/>
          <w:szCs w:val="32"/>
        </w:rPr>
        <w:t>；上级补助收入0万元，占0.00</w:t>
      </w:r>
      <w:r>
        <w:rPr>
          <w:rFonts w:ascii="仿宋" w:hAnsi="仿宋" w:eastAsia="仿宋"/>
          <w:color w:val="000000"/>
          <w:szCs w:val="32"/>
        </w:rPr>
        <w:t>%</w:t>
      </w:r>
      <w:r>
        <w:rPr>
          <w:rFonts w:hint="eastAsia" w:ascii="仿宋" w:hAnsi="仿宋" w:eastAsia="仿宋"/>
          <w:color w:val="000000"/>
          <w:szCs w:val="32"/>
        </w:rPr>
        <w:t>；事业收入0万元，占0.00</w:t>
      </w:r>
      <w:r>
        <w:rPr>
          <w:rFonts w:ascii="仿宋" w:hAnsi="仿宋" w:eastAsia="仿宋"/>
          <w:color w:val="000000"/>
          <w:szCs w:val="32"/>
        </w:rPr>
        <w:t>%</w:t>
      </w:r>
      <w:r>
        <w:rPr>
          <w:rFonts w:hint="eastAsia" w:ascii="仿宋" w:hAnsi="仿宋" w:eastAsia="仿宋"/>
          <w:color w:val="000000"/>
          <w:szCs w:val="32"/>
        </w:rPr>
        <w:t>；经营收入0万元，占0.00</w:t>
      </w:r>
      <w:r>
        <w:rPr>
          <w:rFonts w:ascii="仿宋" w:hAnsi="仿宋" w:eastAsia="仿宋"/>
          <w:color w:val="000000"/>
          <w:szCs w:val="32"/>
        </w:rPr>
        <w:t>%</w:t>
      </w:r>
      <w:r>
        <w:rPr>
          <w:rFonts w:hint="eastAsia" w:ascii="仿宋" w:hAnsi="仿宋" w:eastAsia="仿宋"/>
          <w:color w:val="000000"/>
          <w:szCs w:val="32"/>
        </w:rPr>
        <w:t>；附属单位上缴收入0万元，占0.00</w:t>
      </w:r>
      <w:r>
        <w:rPr>
          <w:rFonts w:ascii="仿宋" w:hAnsi="仿宋" w:eastAsia="仿宋"/>
          <w:color w:val="000000"/>
          <w:szCs w:val="32"/>
        </w:rPr>
        <w:t>%</w:t>
      </w:r>
      <w:r>
        <w:rPr>
          <w:rFonts w:hint="eastAsia" w:ascii="仿宋" w:hAnsi="仿宋" w:eastAsia="仿宋"/>
          <w:color w:val="000000"/>
          <w:szCs w:val="32"/>
        </w:rPr>
        <w:t>；其他收入0万元，占0.00</w:t>
      </w:r>
      <w:r>
        <w:rPr>
          <w:rFonts w:ascii="仿宋" w:hAnsi="仿宋" w:eastAsia="仿宋"/>
          <w:color w:val="000000"/>
          <w:szCs w:val="32"/>
        </w:rPr>
        <w:t>%</w:t>
      </w:r>
      <w:r>
        <w:rPr>
          <w:rFonts w:hint="eastAsia" w:ascii="仿宋" w:hAnsi="仿宋" w:eastAsia="仿宋"/>
          <w:color w:val="000000"/>
          <w:szCs w:val="32"/>
        </w:rPr>
        <w:t>。</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（二）部门财政资金支出情况。</w:t>
      </w:r>
    </w:p>
    <w:p>
      <w:pPr>
        <w:spacing w:line="600" w:lineRule="exact"/>
        <w:ind w:firstLine="640"/>
        <w:rPr>
          <w:rFonts w:ascii="仿宋_GB2312" w:hAnsi="仿宋"/>
          <w:color w:val="000000"/>
          <w:szCs w:val="32"/>
        </w:rPr>
      </w:pPr>
      <w:r>
        <w:rPr>
          <w:rFonts w:ascii="仿宋" w:hAnsi="仿宋" w:eastAsia="仿宋"/>
          <w:color w:val="000000"/>
          <w:szCs w:val="32"/>
        </w:rPr>
        <w:t>20</w:t>
      </w:r>
      <w:r>
        <w:rPr>
          <w:rFonts w:hint="eastAsia" w:ascii="仿宋" w:hAnsi="仿宋" w:eastAsia="仿宋"/>
          <w:color w:val="000000"/>
          <w:szCs w:val="32"/>
        </w:rPr>
        <w:t>20年本年支出合计</w:t>
      </w:r>
      <w:r>
        <w:rPr>
          <w:rFonts w:hint="eastAsia" w:ascii="仿宋" w:hAnsi="仿宋" w:eastAsia="仿宋"/>
          <w:color w:val="000000"/>
          <w:szCs w:val="32"/>
          <w:lang w:val="en-US" w:eastAsia="zh-CN"/>
        </w:rPr>
        <w:t>1518.39</w:t>
      </w:r>
      <w:r>
        <w:rPr>
          <w:rFonts w:hint="eastAsia" w:ascii="仿宋" w:hAnsi="仿宋" w:eastAsia="仿宋"/>
          <w:color w:val="000000"/>
          <w:szCs w:val="32"/>
        </w:rPr>
        <w:t>万元，其中：</w:t>
      </w:r>
      <w:r>
        <w:rPr>
          <w:rFonts w:hint="eastAsia" w:ascii="仿宋_GB2312" w:hAnsi="仿宋"/>
          <w:color w:val="000000"/>
          <w:szCs w:val="32"/>
        </w:rPr>
        <w:t>基本支出</w:t>
      </w:r>
      <w:r>
        <w:rPr>
          <w:rFonts w:hint="eastAsia" w:ascii="仿宋_GB2312" w:hAnsi="仿宋"/>
          <w:color w:val="000000"/>
          <w:szCs w:val="32"/>
          <w:lang w:val="en-US" w:eastAsia="zh-CN"/>
        </w:rPr>
        <w:t>781.96</w:t>
      </w:r>
      <w:r>
        <w:rPr>
          <w:rFonts w:hint="eastAsia" w:ascii="仿宋_GB2312" w:hAnsi="仿宋"/>
          <w:color w:val="000000"/>
          <w:szCs w:val="32"/>
        </w:rPr>
        <w:t>万元，占</w:t>
      </w:r>
      <w:r>
        <w:rPr>
          <w:rFonts w:hint="eastAsia" w:ascii="仿宋_GB2312" w:hAnsi="仿宋"/>
          <w:color w:val="000000"/>
          <w:szCs w:val="32"/>
          <w:lang w:val="en-US" w:eastAsia="zh-CN"/>
        </w:rPr>
        <w:t>51.5</w:t>
      </w:r>
      <w:r>
        <w:rPr>
          <w:rFonts w:ascii="仿宋_GB2312" w:hAnsi="仿宋"/>
          <w:color w:val="000000"/>
          <w:szCs w:val="32"/>
        </w:rPr>
        <w:t>%</w:t>
      </w:r>
      <w:r>
        <w:rPr>
          <w:rFonts w:hint="eastAsia" w:ascii="仿宋_GB2312" w:hAnsi="仿宋"/>
          <w:color w:val="000000"/>
          <w:szCs w:val="32"/>
        </w:rPr>
        <w:t>；项目支出</w:t>
      </w:r>
      <w:r>
        <w:rPr>
          <w:rFonts w:hint="eastAsia" w:ascii="仿宋_GB2312" w:hAnsi="仿宋"/>
          <w:color w:val="000000"/>
          <w:szCs w:val="32"/>
          <w:lang w:val="en-US" w:eastAsia="zh-CN"/>
        </w:rPr>
        <w:t>681.43</w:t>
      </w:r>
      <w:r>
        <w:rPr>
          <w:rFonts w:hint="eastAsia" w:ascii="仿宋_GB2312" w:hAnsi="仿宋"/>
          <w:color w:val="000000"/>
          <w:szCs w:val="32"/>
        </w:rPr>
        <w:t>万元，占</w:t>
      </w:r>
      <w:r>
        <w:rPr>
          <w:rFonts w:hint="eastAsia" w:ascii="仿宋_GB2312" w:hAnsi="仿宋"/>
          <w:color w:val="000000"/>
          <w:szCs w:val="32"/>
          <w:lang w:val="en-US" w:eastAsia="zh-CN"/>
        </w:rPr>
        <w:t>44.9</w:t>
      </w:r>
      <w:r>
        <w:rPr>
          <w:rFonts w:ascii="仿宋_GB2312" w:hAnsi="仿宋"/>
          <w:color w:val="000000"/>
          <w:szCs w:val="32"/>
        </w:rPr>
        <w:t>%</w:t>
      </w:r>
      <w:r>
        <w:rPr>
          <w:rFonts w:hint="eastAsia" w:ascii="仿宋" w:hAnsi="仿宋" w:eastAsia="仿宋"/>
          <w:color w:val="000000"/>
          <w:szCs w:val="32"/>
        </w:rPr>
        <w:t>；上缴上级支出0万元，占0.00</w:t>
      </w:r>
      <w:r>
        <w:rPr>
          <w:rFonts w:ascii="仿宋" w:hAnsi="仿宋" w:eastAsia="仿宋"/>
          <w:color w:val="000000"/>
          <w:szCs w:val="32"/>
        </w:rPr>
        <w:t>%</w:t>
      </w:r>
      <w:r>
        <w:rPr>
          <w:rFonts w:hint="eastAsia" w:ascii="仿宋" w:hAnsi="仿宋" w:eastAsia="仿宋"/>
          <w:color w:val="000000"/>
          <w:szCs w:val="32"/>
        </w:rPr>
        <w:t>；经营支出0万元，占0.00</w:t>
      </w:r>
      <w:r>
        <w:rPr>
          <w:rFonts w:ascii="仿宋" w:hAnsi="仿宋" w:eastAsia="仿宋"/>
          <w:color w:val="000000"/>
          <w:szCs w:val="32"/>
        </w:rPr>
        <w:t>%</w:t>
      </w:r>
      <w:r>
        <w:rPr>
          <w:rFonts w:hint="eastAsia" w:ascii="仿宋" w:hAnsi="仿宋" w:eastAsia="仿宋"/>
          <w:color w:val="000000"/>
          <w:szCs w:val="32"/>
        </w:rPr>
        <w:t>；对附属单位补助支出0万元，占0.00</w:t>
      </w:r>
      <w:r>
        <w:rPr>
          <w:rFonts w:ascii="仿宋" w:hAnsi="仿宋" w:eastAsia="仿宋"/>
          <w:color w:val="000000"/>
          <w:szCs w:val="32"/>
        </w:rPr>
        <w:t>%</w:t>
      </w:r>
      <w:r>
        <w:rPr>
          <w:rFonts w:hint="eastAsia" w:ascii="仿宋" w:hAnsi="仿宋" w:eastAsia="仿宋"/>
          <w:color w:val="000000"/>
          <w:szCs w:val="32"/>
        </w:rPr>
        <w:t>。</w:t>
      </w:r>
    </w:p>
    <w:p>
      <w:pPr>
        <w:widowControl/>
        <w:adjustRightInd w:val="0"/>
        <w:snapToGrid w:val="0"/>
        <w:spacing w:line="540" w:lineRule="exact"/>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黑体" w:hAnsi="宋体" w:eastAsia="黑体" w:cs="宋体"/>
          <w:color w:val="000000"/>
          <w:kern w:val="0"/>
          <w:szCs w:val="32"/>
          <w:shd w:val="clear" w:color="auto" w:fill="FFFFFF"/>
        </w:rPr>
      </w:pPr>
      <w:r>
        <w:rPr>
          <w:rFonts w:hint="eastAsia" w:ascii="黑体" w:hAnsi="宋体" w:eastAsia="黑体" w:cs="宋体"/>
          <w:color w:val="000000"/>
          <w:kern w:val="0"/>
          <w:szCs w:val="32"/>
          <w:shd w:val="clear" w:color="auto" w:fill="FFFFFF"/>
        </w:rPr>
        <w:t>三、部门整体预算绩效管理情况</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（一）部门预算管理。</w:t>
      </w:r>
    </w:p>
    <w:p>
      <w:pPr>
        <w:snapToGrid w:val="0"/>
        <w:spacing w:line="520" w:lineRule="exact"/>
        <w:ind w:firstLine="640" w:firstLineChars="200"/>
        <w:rPr>
          <w:rFonts w:ascii="仿宋_GB2312" w:hAnsi="仿宋"/>
          <w:szCs w:val="32"/>
        </w:rPr>
      </w:pPr>
      <w:r>
        <w:rPr>
          <w:rFonts w:hint="eastAsia" w:ascii="仿宋_GB2312" w:hAnsi="仿宋"/>
          <w:szCs w:val="32"/>
        </w:rPr>
        <w:t>我委部门预算管理严格按照年初预算批复保障机关运行，绩效目标管理、预算动态管理，收支预算管理遵守相关法律法规。专项预算资金按照年初预算要求，专款专用，严格用于项目和专项工作，保障项目运行，</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（二）结果应用情况。</w:t>
      </w:r>
    </w:p>
    <w:p>
      <w:pPr>
        <w:snapToGrid w:val="0"/>
        <w:spacing w:line="520" w:lineRule="exact"/>
        <w:ind w:firstLine="640" w:firstLineChars="200"/>
        <w:rPr>
          <w:rFonts w:ascii="仿宋_GB2312" w:hAnsi="仿宋"/>
          <w:szCs w:val="32"/>
        </w:rPr>
      </w:pPr>
      <w:r>
        <w:rPr>
          <w:rFonts w:hint="eastAsia" w:ascii="仿宋_GB2312" w:hAnsi="仿宋"/>
          <w:szCs w:val="32"/>
        </w:rPr>
        <w:t>我委接到决算工作安排，认真部署人员开展决算所需各项数据资料，决算报送审核通过后，认真开展绩效信息公开工作。</w:t>
      </w:r>
    </w:p>
    <w:p>
      <w:pPr>
        <w:widowControl/>
        <w:adjustRightInd w:val="0"/>
        <w:snapToGrid w:val="0"/>
        <w:spacing w:line="540" w:lineRule="exact"/>
        <w:ind w:firstLine="640" w:firstLineChars="200"/>
        <w:contextualSpacing/>
        <w:jc w:val="left"/>
        <w:rPr>
          <w:rFonts w:ascii="黑体" w:hAnsi="宋体" w:eastAsia="黑体" w:cs="宋体"/>
          <w:color w:val="000000"/>
          <w:kern w:val="0"/>
          <w:szCs w:val="32"/>
          <w:shd w:val="clear" w:color="auto" w:fill="FFFFFF"/>
        </w:rPr>
      </w:pPr>
      <w:r>
        <w:rPr>
          <w:rFonts w:hint="eastAsia" w:ascii="黑体" w:hAnsi="宋体" w:eastAsia="黑体" w:cs="宋体"/>
          <w:color w:val="000000"/>
          <w:kern w:val="0"/>
          <w:szCs w:val="32"/>
          <w:shd w:val="clear" w:color="auto" w:fill="FFFFFF"/>
        </w:rPr>
        <w:t>四、评价结论及建议</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（一）评价结论。</w:t>
      </w:r>
    </w:p>
    <w:p>
      <w:pPr>
        <w:snapToGrid w:val="0"/>
        <w:spacing w:line="520" w:lineRule="exact"/>
        <w:ind w:firstLine="640" w:firstLineChars="200"/>
        <w:rPr>
          <w:rFonts w:ascii="仿宋_GB2312" w:hAnsi="仿宋"/>
          <w:szCs w:val="32"/>
        </w:rPr>
      </w:pPr>
      <w:r>
        <w:rPr>
          <w:rFonts w:hint="eastAsia" w:ascii="仿宋_GB2312" w:hAnsi="仿宋"/>
          <w:szCs w:val="32"/>
        </w:rPr>
        <w:t>我委严格按照相关财经纪律要求，在工作中落实规章制度，按照先预算后执行的原则，所有收入和支出均纳入部门预算管理。严格按照年初预算批复保障机关运行，绩效目标管理、预算动态管理，收支预算管理遵守相关法律法规。专项预算资金按照年初预算要求，专款专用，严格用于项目和专项工作，保障项目运行，</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（二）存在问题。</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仿宋"/>
          <w:szCs w:val="32"/>
        </w:rPr>
        <w:t>预算执行绩效安排不够完善、仍需提升，项目资金使用绩效仍需不断加强。</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（三）改进建议。</w:t>
      </w:r>
    </w:p>
    <w:p>
      <w:pPr>
        <w:snapToGrid w:val="0"/>
        <w:spacing w:line="520" w:lineRule="exact"/>
        <w:ind w:firstLine="640" w:firstLineChars="200"/>
        <w:rPr>
          <w:rFonts w:ascii="仿宋_GB2312" w:hAnsi="仿宋"/>
          <w:szCs w:val="32"/>
        </w:rPr>
      </w:pPr>
      <w:r>
        <w:rPr>
          <w:rFonts w:hint="eastAsia" w:ascii="仿宋_GB2312" w:hAnsi="仿宋"/>
          <w:szCs w:val="32"/>
        </w:rPr>
        <w:t>我们将严格按照相关资金使用管理要求，加快项目建设和资金支出进度。</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contextualSpacing/>
        <w:jc w:val="left"/>
        <w:rPr>
          <w:rFonts w:ascii="仿宋_GB2312" w:hAnsi="宋体" w:cs="宋体"/>
          <w:color w:val="000000"/>
          <w:kern w:val="0"/>
          <w:szCs w:val="32"/>
          <w:shd w:val="clear" w:color="auto" w:fill="FFFFFF"/>
          <w:lang w:val="zh-CN"/>
        </w:rPr>
      </w:pPr>
    </w:p>
    <w:p>
      <w:pPr>
        <w:pStyle w:val="4"/>
        <w:rPr>
          <w:rFonts w:ascii="仿宋_GB2312" w:hAnsi="仿宋_GB2312" w:eastAsia="仿宋_GB2312" w:cs="仿宋_GB2312"/>
        </w:rPr>
      </w:pPr>
      <w:bookmarkStart w:id="81" w:name="_Toc49975942"/>
      <w:bookmarkStart w:id="82" w:name="_Toc49976129"/>
      <w:r>
        <w:rPr>
          <w:rFonts w:hint="eastAsia" w:ascii="黑体" w:hAnsi="黑体" w:eastAsia="黑体" w:cs="黑体"/>
        </w:rPr>
        <w:t>附件2</w:t>
      </w:r>
      <w:bookmarkEnd w:id="81"/>
      <w:bookmarkEnd w:id="82"/>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平安建设项</w:t>
      </w:r>
      <w:r>
        <w:rPr>
          <w:rFonts w:hint="eastAsia" w:ascii="方正小标宋简体" w:hAnsi="宋体" w:eastAsia="方正小标宋简体"/>
          <w:color w:val="000000"/>
          <w:kern w:val="0"/>
          <w:sz w:val="44"/>
          <w:szCs w:val="44"/>
          <w:lang w:val="zh-CN"/>
        </w:rPr>
        <w:t>目</w:t>
      </w:r>
      <w:r>
        <w:rPr>
          <w:rFonts w:hint="eastAsia" w:ascii="方正小标宋简体" w:hAnsi="宋体" w:eastAsia="方正小标宋简体"/>
          <w:color w:val="000000"/>
          <w:kern w:val="0"/>
          <w:sz w:val="44"/>
          <w:szCs w:val="44"/>
        </w:rPr>
        <w:t>2020年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Cs w:val="32"/>
          <w:lang w:val="zh-CN"/>
        </w:rPr>
      </w:pPr>
    </w:p>
    <w:p>
      <w:pPr>
        <w:adjustRightInd w:val="0"/>
        <w:snapToGrid w:val="0"/>
        <w:spacing w:line="560" w:lineRule="exact"/>
        <w:ind w:firstLine="720"/>
        <w:rPr>
          <w:rFonts w:ascii="黑体" w:hAnsi="宋体" w:eastAsia="黑体"/>
          <w:szCs w:val="32"/>
          <w:lang w:val="zh-CN"/>
        </w:rPr>
      </w:pPr>
      <w:r>
        <w:rPr>
          <w:rFonts w:hint="eastAsia" w:ascii="黑体" w:hAnsi="宋体" w:eastAsia="黑体"/>
          <w:szCs w:val="32"/>
        </w:rPr>
        <w:t>一、</w:t>
      </w:r>
      <w:r>
        <w:rPr>
          <w:rFonts w:hint="eastAsia" w:ascii="黑体" w:hAnsi="宋体" w:eastAsia="黑体"/>
          <w:szCs w:val="32"/>
          <w:lang w:val="zh-CN"/>
        </w:rPr>
        <w:t>项目概况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（一）项目基本情况。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平安建设项目是为了保障推进全国综治优秀市创建，加强平安自贡建设；确保全市社会大局稳定。该项目广泛开展平安建设宣传，提高群众知晓率和满意率，宣传见义勇为先进个人，让群众参与扫黑除恶专项斗争，营造了良好的社会氛围。</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（二）项目绩效目标。</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1．项目主要内容：广泛开展平安建设宣传，提高群众知晓率和满意率，严格落实综治领导责任。</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2．项目应实现的具体绩效目标：</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（1）平安指标：</w:t>
      </w:r>
      <w:r>
        <w:rPr>
          <w:rFonts w:ascii="Times New Roman" w:hAnsi="Times New Roman" w:eastAsia="仿宋_GB2312"/>
          <w:sz w:val="32"/>
          <w:szCs w:val="32"/>
        </w:rPr>
        <w:t>“六无”平安村（社区）创建</w:t>
      </w:r>
      <w:r>
        <w:rPr>
          <w:rFonts w:hint="eastAsia" w:ascii="仿宋_GB2312" w:hAnsi="宋体"/>
          <w:szCs w:val="32"/>
          <w:lang w:val="zh-CN"/>
        </w:rPr>
        <w:t>。</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（2）典型培育：宣传见义勇为先进个人，营造群众参与的扫黑除恶专项斗争。</w:t>
      </w:r>
    </w:p>
    <w:p>
      <w:pPr>
        <w:adjustRightInd w:val="0"/>
        <w:snapToGrid w:val="0"/>
        <w:spacing w:line="560" w:lineRule="exact"/>
        <w:ind w:firstLine="800" w:firstLineChars="250"/>
        <w:rPr>
          <w:rFonts w:ascii="仿宋_GB2312" w:hAnsi="宋体"/>
          <w:szCs w:val="32"/>
          <w:lang w:val="zh-CN"/>
        </w:rPr>
      </w:pPr>
      <w:r>
        <w:rPr>
          <w:rFonts w:hint="eastAsia" w:ascii="仿宋_GB2312" w:hAnsi="宋体"/>
          <w:szCs w:val="32"/>
          <w:lang w:val="zh-CN"/>
        </w:rPr>
        <w:t>3．申报内容与实际相符，申报目标合理可行。</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（三）项目自评步骤及方法。</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说明项目绩效自评采用的组织实施步骤及方法。</w:t>
      </w:r>
    </w:p>
    <w:p>
      <w:pPr>
        <w:adjustRightInd w:val="0"/>
        <w:snapToGrid w:val="0"/>
        <w:spacing w:line="560" w:lineRule="exact"/>
        <w:ind w:firstLine="720"/>
        <w:rPr>
          <w:rFonts w:ascii="黑体" w:hAnsi="宋体" w:eastAsia="黑体"/>
          <w:szCs w:val="32"/>
        </w:rPr>
      </w:pPr>
      <w:r>
        <w:rPr>
          <w:rFonts w:hint="eastAsia" w:ascii="黑体" w:hAnsi="宋体" w:eastAsia="黑体"/>
          <w:szCs w:val="32"/>
        </w:rPr>
        <w:t>二、项目资金申报及使用情况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（一）项目资金申报及批复情况。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该项目资金为财政拨款，截止评价时点，资金申报及批复已完成。</w:t>
      </w:r>
    </w:p>
    <w:p>
      <w:pPr>
        <w:adjustRightInd w:val="0"/>
        <w:snapToGrid w:val="0"/>
        <w:spacing w:line="560" w:lineRule="exact"/>
        <w:ind w:firstLine="720"/>
        <w:rPr>
          <w:rFonts w:ascii="仿宋_GB2312" w:hAnsi="宋体"/>
          <w:szCs w:val="32"/>
          <w:lang w:val="zh-CN"/>
        </w:rPr>
      </w:pPr>
      <w:r>
        <w:rPr>
          <w:rFonts w:hint="eastAsia" w:ascii="楷体_GB2312" w:hAnsi="宋体" w:eastAsia="楷体_GB2312"/>
          <w:b/>
          <w:szCs w:val="32"/>
          <w:lang w:val="zh-CN"/>
        </w:rPr>
        <w:t>（二）资金计划、到位及使用情况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该项目资金为财政拨款，截止评价时点该项目全省资金已到位。资金支付范围、支付标准、支付进度、支付依据等合规合法且与预算相符，。</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（三）项目财务管理情况。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各项目实施单位财务管理制度健全，严格执行财务管理制度，账务处理及时，会计核算规范。</w:t>
      </w:r>
    </w:p>
    <w:p>
      <w:pPr>
        <w:adjustRightInd w:val="0"/>
        <w:snapToGrid w:val="0"/>
        <w:spacing w:line="560" w:lineRule="exact"/>
        <w:ind w:firstLine="720"/>
        <w:rPr>
          <w:rFonts w:ascii="黑体" w:hAnsi="宋体" w:eastAsia="黑体"/>
          <w:szCs w:val="32"/>
        </w:rPr>
      </w:pPr>
      <w:r>
        <w:rPr>
          <w:rFonts w:hint="eastAsia" w:ascii="黑体" w:hAnsi="宋体" w:eastAsia="黑体"/>
          <w:szCs w:val="32"/>
        </w:rPr>
        <w:t>三、项目实施及管理情况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（一）项目组织架构及实施流程。</w:t>
      </w:r>
    </w:p>
    <w:p>
      <w:pPr>
        <w:adjustRightInd w:val="0"/>
        <w:snapToGrid w:val="0"/>
        <w:spacing w:line="560" w:lineRule="exact"/>
        <w:ind w:firstLine="720"/>
        <w:rPr>
          <w:rFonts w:ascii="仿宋_GB2312" w:hAnsi="宋体"/>
          <w:szCs w:val="32"/>
          <w:lang w:val="zh-CN"/>
        </w:rPr>
      </w:pPr>
      <w:r>
        <w:rPr>
          <w:rFonts w:hint="eastAsia" w:ascii="楷体_GB2312" w:hAnsi="宋体" w:eastAsia="楷体_GB2312"/>
          <w:b/>
          <w:szCs w:val="32"/>
          <w:lang w:val="zh-CN"/>
        </w:rPr>
        <w:t>（二）项目管理情况。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（三）项目监管情况。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我委明确相关岗位的职责权限，确保政府采购需求制定与内部审批、招标文件准备与复核、合同签订与验收等岗位不相容，严格落实综治领导责任，开展有效督导及挂牌整治。</w:t>
      </w:r>
    </w:p>
    <w:p>
      <w:pPr>
        <w:adjustRightInd w:val="0"/>
        <w:snapToGrid w:val="0"/>
        <w:spacing w:line="560" w:lineRule="exact"/>
        <w:ind w:firstLine="787" w:firstLineChars="246"/>
        <w:rPr>
          <w:rFonts w:ascii="仿宋_GB2312" w:hAnsi="宋体"/>
          <w:szCs w:val="32"/>
          <w:lang w:val="zh-CN"/>
        </w:rPr>
      </w:pPr>
      <w:r>
        <w:rPr>
          <w:rFonts w:hint="eastAsia" w:ascii="黑体" w:hAnsi="宋体" w:eastAsia="黑体"/>
          <w:szCs w:val="32"/>
        </w:rPr>
        <w:t>四、项目绩效情况</w:t>
      </w:r>
      <w:r>
        <w:rPr>
          <w:rFonts w:hint="eastAsia" w:ascii="仿宋_GB2312" w:hAnsi="宋体"/>
          <w:szCs w:val="32"/>
          <w:lang w:val="zh-CN"/>
        </w:rPr>
        <w:tab/>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（一）项目完成情况。</w:t>
      </w:r>
    </w:p>
    <w:p>
      <w:pPr>
        <w:pBdr>
          <w:top w:val="single" w:color="FFFFFF" w:sz="4" w:space="0"/>
          <w:left w:val="single" w:color="FFFFFF" w:sz="4" w:space="31"/>
          <w:bottom w:val="single" w:color="FFFFFF" w:sz="4" w:space="31"/>
          <w:right w:val="single" w:color="FFFFFF" w:sz="4" w:space="0"/>
        </w:pBdr>
        <w:snapToGrid w:val="0"/>
        <w:spacing w:line="560" w:lineRule="exact"/>
        <w:ind w:firstLine="640" w:firstLineChars="200"/>
        <w:rPr>
          <w:rFonts w:ascii="仿宋_GB2312" w:hAnsi="宋体"/>
          <w:szCs w:val="32"/>
          <w:lang w:val="zh-CN"/>
        </w:rPr>
      </w:pPr>
      <w:r>
        <w:rPr>
          <w:rFonts w:ascii="Times New Roman" w:hAnsi="Times New Roman" w:eastAsia="仿宋_GB2312"/>
          <w:sz w:val="32"/>
          <w:szCs w:val="32"/>
        </w:rPr>
        <w:t>持续开展“六无”平安村（社区）创建，</w:t>
      </w:r>
      <w:r>
        <w:rPr>
          <w:rFonts w:ascii="Times New Roman" w:hAnsi="Times New Roman" w:eastAsia="仿宋_GB2312"/>
          <w:sz w:val="32"/>
          <w:szCs w:val="32"/>
          <w:shd w:val="clear" w:color="auto" w:fill="FFFFFF"/>
        </w:rPr>
        <w:t>建成省级“六无”平安村(社区)30个，市级“六无”平安村（社区）156个、区县级“六无”平安村（社区）492个。</w:t>
      </w:r>
      <w:r>
        <w:rPr>
          <w:rFonts w:ascii="Times New Roman" w:hAnsi="Times New Roman" w:eastAsia="仿宋_GB2312"/>
          <w:sz w:val="32"/>
          <w:szCs w:val="32"/>
        </w:rPr>
        <w:t>推进“一村一辅警”机制建设，突出“黑车”整治、“三超”专项整治，医疗纠纷人民调解、校园周边环境整治和保护未成年人关爱行动、保健品专项整治等工作重点，平安医院创建获得国家卫健委、中央政法委等10部委的联合表彰，大力宣传“平安建设”工作，为建设平安自贡营造了浓厚的舆论氛围。巩固“万人红袖标”平安志愿者队伍拓展到38562人，同比增加12%。见义勇为氛围更浓，“海尔小哥”胡云川勇救6楼女童的事迹，受到各级、社会各界广泛好评，获得省市级表彰。</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（二）项目效益情况。</w:t>
      </w:r>
    </w:p>
    <w:p>
      <w:pPr>
        <w:pBdr>
          <w:top w:val="single" w:color="FFFFFF" w:sz="4" w:space="0"/>
          <w:left w:val="single" w:color="FFFFFF" w:sz="4" w:space="31"/>
          <w:bottom w:val="single" w:color="FFFFFF" w:sz="4" w:space="31"/>
          <w:right w:val="single" w:color="FFFFFF" w:sz="4" w:space="0"/>
        </w:pBdr>
        <w:snapToGrid w:val="0"/>
        <w:spacing w:line="560" w:lineRule="exact"/>
        <w:ind w:firstLine="640" w:firstLineChars="200"/>
        <w:rPr>
          <w:rFonts w:hint="eastAsia" w:ascii="仿宋_GB2312" w:hAnsi="宋体" w:eastAsia="仿宋_GB2312"/>
          <w:szCs w:val="32"/>
          <w:lang w:val="zh-CN" w:eastAsia="zh-CN"/>
        </w:rPr>
      </w:pPr>
      <w:r>
        <w:rPr>
          <w:rFonts w:hint="eastAsia" w:ascii="仿宋_GB2312" w:hAnsi="宋体"/>
          <w:szCs w:val="32"/>
          <w:lang w:val="zh-CN"/>
        </w:rPr>
        <w:t>社会效益：</w:t>
      </w:r>
      <w:r>
        <w:rPr>
          <w:rFonts w:ascii="Times New Roman" w:hAnsi="Times New Roman" w:eastAsia="仿宋_GB2312"/>
          <w:sz w:val="32"/>
          <w:szCs w:val="32"/>
        </w:rPr>
        <w:t>平安医院创建获得国家卫健委、中央政法委等10部委的联合表彰，大力宣传“平安建设”工作，为建设平安自贡营造了浓厚的舆论氛围</w:t>
      </w:r>
      <w:r>
        <w:rPr>
          <w:rFonts w:hint="eastAsia"/>
          <w:sz w:val="32"/>
          <w:szCs w:val="32"/>
          <w:lang w:eastAsia="zh-CN"/>
        </w:rPr>
        <w:t>。</w:t>
      </w:r>
    </w:p>
    <w:p>
      <w:pPr>
        <w:adjustRightInd w:val="0"/>
        <w:snapToGrid w:val="0"/>
        <w:spacing w:line="560" w:lineRule="exact"/>
        <w:ind w:firstLine="720"/>
        <w:rPr>
          <w:rFonts w:ascii="黑体" w:hAnsi="宋体" w:eastAsia="黑体"/>
          <w:szCs w:val="32"/>
        </w:rPr>
      </w:pPr>
      <w:r>
        <w:rPr>
          <w:rFonts w:hint="eastAsia" w:ascii="黑体" w:hAnsi="宋体" w:eastAsia="黑体"/>
          <w:szCs w:val="32"/>
        </w:rPr>
        <w:t>五、评价结论及建议</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（一）评价结论。</w:t>
      </w:r>
    </w:p>
    <w:p>
      <w:pPr>
        <w:snapToGrid w:val="0"/>
        <w:spacing w:line="520" w:lineRule="exact"/>
        <w:ind w:firstLine="640" w:firstLineChars="200"/>
        <w:rPr>
          <w:rFonts w:ascii="仿宋_GB2312" w:hAnsi="仿宋"/>
          <w:szCs w:val="32"/>
        </w:rPr>
      </w:pPr>
      <w:r>
        <w:rPr>
          <w:rFonts w:hint="eastAsia" w:ascii="仿宋_GB2312" w:hAnsi="仿宋"/>
          <w:szCs w:val="32"/>
        </w:rPr>
        <w:t>我委严格按照相关财经纪律要求，在工作中落实规章制度，按照先预算后执行的原则，所有收入和支出均纳入部门预算管理。严格按照年初预算批复保障机关运行，绩效目标管理、预算动态管理，收支预算管理遵守相关法律法规。专项预算资金按照年初预算要求，专款专用，严格用于项目和专项工作，保障项目运行，</w:t>
      </w:r>
    </w:p>
    <w:p>
      <w:pPr>
        <w:adjustRightInd w:val="0"/>
        <w:snapToGrid w:val="0"/>
        <w:spacing w:line="560" w:lineRule="exact"/>
        <w:ind w:firstLine="482" w:firstLineChars="150"/>
        <w:rPr>
          <w:rFonts w:ascii="楷体_GB2312" w:hAnsi="宋体" w:eastAsia="楷体_GB2312"/>
          <w:b/>
          <w:szCs w:val="32"/>
          <w:lang w:val="zh-CN"/>
        </w:rPr>
      </w:pPr>
      <w:r>
        <w:rPr>
          <w:rFonts w:hint="eastAsia" w:ascii="楷体_GB2312" w:hAnsi="宋体" w:eastAsia="楷体_GB2312"/>
          <w:b/>
          <w:szCs w:val="32"/>
          <w:lang w:val="zh-CN"/>
        </w:rPr>
        <w:t>（二）存在的问题。</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仿宋"/>
          <w:szCs w:val="32"/>
        </w:rPr>
        <w:t>预算执行绩效安排不够完善、仍需提升，项目资金使用绩效仍需不断加强。</w:t>
      </w:r>
      <w:r>
        <w:rPr>
          <w:rFonts w:hint="eastAsia" w:ascii="仿宋_GB2312" w:hAnsi="宋体"/>
          <w:szCs w:val="32"/>
          <w:lang w:val="zh-CN"/>
        </w:rPr>
        <w:tab/>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（三）相关建议。</w:t>
      </w:r>
    </w:p>
    <w:p>
      <w:pPr>
        <w:snapToGrid w:val="0"/>
        <w:spacing w:line="520" w:lineRule="exact"/>
        <w:ind w:firstLine="640" w:firstLineChars="200"/>
        <w:rPr>
          <w:rFonts w:ascii="仿宋_GB2312" w:hAnsi="仿宋"/>
          <w:szCs w:val="32"/>
        </w:rPr>
      </w:pPr>
      <w:bookmarkStart w:id="83" w:name="_Toc15396618"/>
      <w:bookmarkStart w:id="84" w:name="_Toc49975943"/>
      <w:bookmarkStart w:id="85" w:name="_Toc49976130"/>
      <w:r>
        <w:rPr>
          <w:rFonts w:hint="eastAsia" w:ascii="仿宋_GB2312" w:hAnsi="仿宋"/>
          <w:szCs w:val="32"/>
        </w:rPr>
        <w:t>我们将严格按照相关资金使用管理要求，加快项目建设和资金支出进度。</w:t>
      </w:r>
    </w:p>
    <w:p>
      <w:pPr>
        <w:spacing w:line="600" w:lineRule="exact"/>
        <w:jc w:val="center"/>
        <w:outlineLvl w:val="0"/>
        <w:rPr>
          <w:rFonts w:ascii="黑体" w:hAnsi="黑体" w:eastAsia="黑体"/>
          <w:color w:val="000000"/>
          <w:sz w:val="44"/>
          <w:szCs w:val="44"/>
        </w:rPr>
      </w:pPr>
    </w:p>
    <w:p>
      <w:pPr>
        <w:spacing w:line="600" w:lineRule="exact"/>
        <w:outlineLvl w:val="0"/>
        <w:rPr>
          <w:rFonts w:ascii="黑体" w:hAnsi="黑体" w:eastAsia="黑体"/>
          <w:color w:val="000000"/>
          <w:sz w:val="44"/>
          <w:szCs w:val="44"/>
        </w:rPr>
      </w:pPr>
    </w:p>
    <w:p>
      <w:pPr>
        <w:spacing w:line="600" w:lineRule="exact"/>
        <w:jc w:val="center"/>
        <w:outlineLvl w:val="0"/>
        <w:rPr>
          <w:rFonts w:ascii="黑体" w:hAnsi="黑体" w:eastAsia="黑体"/>
          <w:bCs/>
          <w:kern w:val="44"/>
          <w:sz w:val="44"/>
          <w:szCs w:val="44"/>
        </w:rPr>
      </w:pPr>
      <w:r>
        <w:rPr>
          <w:rFonts w:hint="eastAsia" w:ascii="黑体" w:hAnsi="黑体" w:eastAsia="黑体"/>
          <w:color w:val="000000"/>
          <w:sz w:val="44"/>
          <w:szCs w:val="44"/>
        </w:rPr>
        <w:t>第</w:t>
      </w:r>
      <w:r>
        <w:rPr>
          <w:rStyle w:val="50"/>
          <w:rFonts w:hint="eastAsia" w:ascii="黑体" w:hAnsi="黑体" w:eastAsia="黑体"/>
          <w:b w:val="0"/>
          <w:bCs w:val="0"/>
        </w:rPr>
        <w:t>五部分 附表</w:t>
      </w:r>
      <w:bookmarkEnd w:id="75"/>
      <w:bookmarkEnd w:id="83"/>
      <w:bookmarkEnd w:id="84"/>
      <w:bookmarkEnd w:id="85"/>
      <w:bookmarkStart w:id="86" w:name="_Toc15396619"/>
      <w:bookmarkStart w:id="87" w:name="_Toc49975944"/>
      <w:bookmarkStart w:id="88" w:name="_Toc49976131"/>
    </w:p>
    <w:p>
      <w:pPr>
        <w:pStyle w:val="4"/>
        <w:spacing w:line="560" w:lineRule="exact"/>
        <w:rPr>
          <w:rFonts w:ascii="仿宋" w:hAnsi="仿宋" w:eastAsia="仿宋"/>
          <w:color w:val="000000"/>
        </w:rPr>
      </w:pPr>
      <w:r>
        <w:rPr>
          <w:rFonts w:hint="eastAsia" w:ascii="仿宋" w:hAnsi="仿宋" w:eastAsia="仿宋"/>
          <w:b w:val="0"/>
          <w:color w:val="000000"/>
        </w:rPr>
        <w:t>一、收</w:t>
      </w:r>
      <w:r>
        <w:rPr>
          <w:rStyle w:val="51"/>
          <w:rFonts w:hint="eastAsia" w:ascii="仿宋" w:hAnsi="仿宋" w:eastAsia="仿宋"/>
          <w:b w:val="0"/>
          <w:bCs w:val="0"/>
        </w:rPr>
        <w:t>入支出决算总表</w:t>
      </w:r>
      <w:bookmarkEnd w:id="86"/>
      <w:bookmarkEnd w:id="87"/>
      <w:bookmarkEnd w:id="88"/>
    </w:p>
    <w:p>
      <w:pPr>
        <w:pStyle w:val="4"/>
        <w:spacing w:line="560" w:lineRule="exact"/>
        <w:rPr>
          <w:rFonts w:ascii="仿宋" w:hAnsi="仿宋" w:eastAsia="仿宋"/>
          <w:color w:val="000000"/>
        </w:rPr>
      </w:pPr>
      <w:bookmarkStart w:id="89" w:name="_Toc15396620"/>
      <w:bookmarkStart w:id="90" w:name="_Toc49975945"/>
      <w:bookmarkStart w:id="91" w:name="_Toc49976132"/>
      <w:r>
        <w:rPr>
          <w:rFonts w:hint="eastAsia" w:ascii="仿宋" w:hAnsi="仿宋" w:eastAsia="仿宋"/>
          <w:b w:val="0"/>
          <w:color w:val="000000"/>
        </w:rPr>
        <w:t>二、收</w:t>
      </w:r>
      <w:r>
        <w:rPr>
          <w:rStyle w:val="51"/>
          <w:rFonts w:hint="eastAsia" w:ascii="仿宋" w:hAnsi="仿宋" w:eastAsia="仿宋"/>
          <w:b w:val="0"/>
          <w:bCs w:val="0"/>
        </w:rPr>
        <w:t>入决算表</w:t>
      </w:r>
      <w:bookmarkEnd w:id="89"/>
      <w:bookmarkEnd w:id="90"/>
      <w:bookmarkEnd w:id="91"/>
    </w:p>
    <w:p>
      <w:pPr>
        <w:pStyle w:val="4"/>
        <w:spacing w:line="560" w:lineRule="exact"/>
        <w:rPr>
          <w:rFonts w:ascii="仿宋" w:hAnsi="仿宋" w:eastAsia="仿宋"/>
          <w:color w:val="000000"/>
        </w:rPr>
      </w:pPr>
      <w:bookmarkStart w:id="92" w:name="_Toc15396621"/>
      <w:bookmarkStart w:id="93" w:name="_Toc49975946"/>
      <w:bookmarkStart w:id="94" w:name="_Toc49976133"/>
      <w:r>
        <w:rPr>
          <w:rStyle w:val="51"/>
          <w:rFonts w:hint="eastAsia" w:ascii="仿宋" w:hAnsi="仿宋" w:eastAsia="仿宋"/>
          <w:b w:val="0"/>
          <w:bCs w:val="0"/>
        </w:rPr>
        <w:t>三、</w:t>
      </w:r>
      <w:r>
        <w:rPr>
          <w:rFonts w:hint="eastAsia" w:ascii="仿宋" w:hAnsi="仿宋" w:eastAsia="仿宋"/>
          <w:b w:val="0"/>
          <w:color w:val="000000"/>
        </w:rPr>
        <w:t>支</w:t>
      </w:r>
      <w:r>
        <w:rPr>
          <w:rStyle w:val="51"/>
          <w:rFonts w:hint="eastAsia" w:ascii="仿宋" w:hAnsi="仿宋" w:eastAsia="仿宋"/>
          <w:b w:val="0"/>
          <w:bCs w:val="0"/>
        </w:rPr>
        <w:t>出决算表</w:t>
      </w:r>
      <w:bookmarkEnd w:id="92"/>
      <w:bookmarkEnd w:id="93"/>
      <w:bookmarkEnd w:id="94"/>
    </w:p>
    <w:p>
      <w:pPr>
        <w:pStyle w:val="4"/>
        <w:spacing w:line="560" w:lineRule="exact"/>
        <w:rPr>
          <w:rFonts w:ascii="仿宋" w:hAnsi="仿宋" w:eastAsia="仿宋"/>
          <w:b w:val="0"/>
          <w:color w:val="000000"/>
        </w:rPr>
      </w:pPr>
      <w:bookmarkStart w:id="95" w:name="_Toc15396622"/>
      <w:bookmarkStart w:id="96" w:name="_Toc49975947"/>
      <w:bookmarkStart w:id="97" w:name="_Toc49976134"/>
      <w:r>
        <w:rPr>
          <w:rStyle w:val="51"/>
          <w:rFonts w:hint="eastAsia" w:ascii="仿宋" w:hAnsi="仿宋" w:eastAsia="仿宋"/>
          <w:b w:val="0"/>
          <w:bCs w:val="0"/>
        </w:rPr>
        <w:t>四、</w:t>
      </w:r>
      <w:r>
        <w:rPr>
          <w:rFonts w:hint="eastAsia" w:ascii="仿宋" w:hAnsi="仿宋" w:eastAsia="仿宋"/>
          <w:b w:val="0"/>
          <w:color w:val="000000"/>
        </w:rPr>
        <w:t>财</w:t>
      </w:r>
      <w:r>
        <w:rPr>
          <w:rStyle w:val="51"/>
          <w:rFonts w:hint="eastAsia" w:ascii="仿宋" w:hAnsi="仿宋" w:eastAsia="仿宋"/>
          <w:b w:val="0"/>
          <w:bCs w:val="0"/>
        </w:rPr>
        <w:t>政拨款收入支出决算总表</w:t>
      </w:r>
      <w:bookmarkEnd w:id="95"/>
      <w:bookmarkEnd w:id="96"/>
      <w:bookmarkEnd w:id="97"/>
    </w:p>
    <w:p>
      <w:pPr>
        <w:pStyle w:val="4"/>
        <w:spacing w:line="560" w:lineRule="exact"/>
        <w:rPr>
          <w:rStyle w:val="51"/>
          <w:rFonts w:ascii="仿宋" w:hAnsi="仿宋" w:eastAsia="仿宋"/>
          <w:b w:val="0"/>
          <w:bCs w:val="0"/>
        </w:rPr>
      </w:pPr>
      <w:bookmarkStart w:id="98" w:name="_Toc15396623"/>
      <w:bookmarkStart w:id="99" w:name="_Toc49975948"/>
      <w:bookmarkStart w:id="100" w:name="_Toc49976135"/>
      <w:r>
        <w:rPr>
          <w:rStyle w:val="51"/>
          <w:rFonts w:hint="eastAsia" w:ascii="仿宋" w:hAnsi="仿宋" w:eastAsia="仿宋"/>
          <w:b w:val="0"/>
          <w:bCs w:val="0"/>
        </w:rPr>
        <w:t>五、</w:t>
      </w:r>
      <w:r>
        <w:rPr>
          <w:rFonts w:hint="eastAsia" w:ascii="仿宋" w:hAnsi="仿宋" w:eastAsia="仿宋"/>
          <w:b w:val="0"/>
          <w:color w:val="000000"/>
        </w:rPr>
        <w:t>财</w:t>
      </w:r>
      <w:r>
        <w:rPr>
          <w:rStyle w:val="51"/>
          <w:rFonts w:hint="eastAsia" w:ascii="仿宋" w:hAnsi="仿宋" w:eastAsia="仿宋"/>
          <w:b w:val="0"/>
          <w:bCs w:val="0"/>
        </w:rPr>
        <w:t>政拨款支出决算明细表</w:t>
      </w:r>
      <w:bookmarkEnd w:id="98"/>
      <w:bookmarkEnd w:id="99"/>
      <w:bookmarkEnd w:id="100"/>
      <w:bookmarkStart w:id="101" w:name="_Toc15396624"/>
    </w:p>
    <w:p>
      <w:pPr>
        <w:pStyle w:val="4"/>
        <w:spacing w:line="560" w:lineRule="exact"/>
        <w:rPr>
          <w:rFonts w:ascii="仿宋" w:hAnsi="仿宋" w:eastAsia="仿宋"/>
          <w:color w:val="000000"/>
        </w:rPr>
      </w:pPr>
      <w:bookmarkStart w:id="102" w:name="_Toc49975949"/>
      <w:bookmarkStart w:id="103" w:name="_Toc49976136"/>
      <w:r>
        <w:rPr>
          <w:rStyle w:val="51"/>
          <w:rFonts w:hint="eastAsia" w:ascii="仿宋" w:hAnsi="仿宋" w:eastAsia="仿宋"/>
          <w:b w:val="0"/>
          <w:bCs w:val="0"/>
        </w:rPr>
        <w:t>六、</w:t>
      </w:r>
      <w:r>
        <w:rPr>
          <w:rFonts w:hint="eastAsia" w:ascii="仿宋" w:hAnsi="仿宋" w:eastAsia="仿宋"/>
          <w:b w:val="0"/>
          <w:color w:val="000000"/>
        </w:rPr>
        <w:t>一</w:t>
      </w:r>
      <w:r>
        <w:rPr>
          <w:rStyle w:val="51"/>
          <w:rFonts w:hint="eastAsia" w:ascii="仿宋" w:hAnsi="仿宋" w:eastAsia="仿宋"/>
          <w:b w:val="0"/>
          <w:bCs w:val="0"/>
        </w:rPr>
        <w:t>般公共预算财政拨款支出决算表</w:t>
      </w:r>
      <w:bookmarkEnd w:id="101"/>
      <w:bookmarkEnd w:id="102"/>
      <w:bookmarkEnd w:id="103"/>
    </w:p>
    <w:p>
      <w:pPr>
        <w:pStyle w:val="4"/>
        <w:spacing w:line="560" w:lineRule="exact"/>
        <w:rPr>
          <w:rFonts w:ascii="仿宋" w:hAnsi="仿宋" w:eastAsia="仿宋"/>
          <w:color w:val="000000"/>
        </w:rPr>
      </w:pPr>
      <w:bookmarkStart w:id="104" w:name="_Toc15396625"/>
      <w:bookmarkStart w:id="105" w:name="_Toc49975950"/>
      <w:bookmarkStart w:id="106" w:name="_Toc49976137"/>
      <w:r>
        <w:rPr>
          <w:rStyle w:val="51"/>
          <w:rFonts w:hint="eastAsia" w:ascii="仿宋" w:hAnsi="仿宋" w:eastAsia="仿宋"/>
          <w:b w:val="0"/>
          <w:bCs w:val="0"/>
        </w:rPr>
        <w:t>七、</w:t>
      </w:r>
      <w:r>
        <w:rPr>
          <w:rFonts w:hint="eastAsia" w:ascii="仿宋" w:hAnsi="仿宋" w:eastAsia="仿宋"/>
          <w:b w:val="0"/>
          <w:color w:val="000000"/>
        </w:rPr>
        <w:t>一</w:t>
      </w:r>
      <w:r>
        <w:rPr>
          <w:rStyle w:val="51"/>
          <w:rFonts w:hint="eastAsia" w:ascii="仿宋" w:hAnsi="仿宋" w:eastAsia="仿宋"/>
          <w:b w:val="0"/>
          <w:bCs w:val="0"/>
        </w:rPr>
        <w:t>般公共预算财政拨款支出决算明细表</w:t>
      </w:r>
      <w:bookmarkEnd w:id="104"/>
      <w:bookmarkEnd w:id="105"/>
      <w:bookmarkEnd w:id="106"/>
    </w:p>
    <w:p>
      <w:pPr>
        <w:pStyle w:val="4"/>
        <w:spacing w:line="560" w:lineRule="exact"/>
        <w:rPr>
          <w:rFonts w:ascii="仿宋" w:hAnsi="仿宋" w:eastAsia="仿宋"/>
          <w:color w:val="000000"/>
        </w:rPr>
      </w:pPr>
      <w:bookmarkStart w:id="107" w:name="_Toc15396626"/>
      <w:bookmarkStart w:id="108" w:name="_Toc49975951"/>
      <w:bookmarkStart w:id="109" w:name="_Toc49976138"/>
      <w:r>
        <w:rPr>
          <w:rStyle w:val="51"/>
          <w:rFonts w:hint="eastAsia" w:ascii="仿宋" w:hAnsi="仿宋" w:eastAsia="仿宋"/>
          <w:b w:val="0"/>
          <w:bCs w:val="0"/>
        </w:rPr>
        <w:t>八、</w:t>
      </w:r>
      <w:r>
        <w:rPr>
          <w:rFonts w:hint="eastAsia" w:ascii="仿宋" w:hAnsi="仿宋" w:eastAsia="仿宋"/>
          <w:b w:val="0"/>
          <w:color w:val="000000"/>
        </w:rPr>
        <w:t>一</w:t>
      </w:r>
      <w:r>
        <w:rPr>
          <w:rStyle w:val="51"/>
          <w:rFonts w:hint="eastAsia" w:ascii="仿宋" w:hAnsi="仿宋" w:eastAsia="仿宋"/>
          <w:b w:val="0"/>
          <w:bCs w:val="0"/>
        </w:rPr>
        <w:t>般公共预算财政拨款基本支出决算表</w:t>
      </w:r>
      <w:bookmarkEnd w:id="107"/>
      <w:bookmarkEnd w:id="108"/>
      <w:bookmarkEnd w:id="109"/>
    </w:p>
    <w:p>
      <w:pPr>
        <w:pStyle w:val="4"/>
        <w:spacing w:line="560" w:lineRule="exact"/>
        <w:rPr>
          <w:rFonts w:ascii="仿宋" w:hAnsi="仿宋" w:eastAsia="仿宋"/>
          <w:color w:val="000000"/>
        </w:rPr>
      </w:pPr>
      <w:bookmarkStart w:id="110" w:name="_Toc15396627"/>
      <w:bookmarkStart w:id="111" w:name="_Toc49975952"/>
      <w:bookmarkStart w:id="112" w:name="_Toc49976139"/>
      <w:r>
        <w:rPr>
          <w:rStyle w:val="51"/>
          <w:rFonts w:hint="eastAsia" w:ascii="仿宋" w:hAnsi="仿宋" w:eastAsia="仿宋"/>
          <w:b w:val="0"/>
          <w:bCs w:val="0"/>
        </w:rPr>
        <w:t>九、</w:t>
      </w:r>
      <w:r>
        <w:rPr>
          <w:rFonts w:hint="eastAsia" w:ascii="仿宋" w:hAnsi="仿宋" w:eastAsia="仿宋"/>
          <w:b w:val="0"/>
          <w:color w:val="000000"/>
        </w:rPr>
        <w:t>一</w:t>
      </w:r>
      <w:r>
        <w:rPr>
          <w:rStyle w:val="51"/>
          <w:rFonts w:hint="eastAsia" w:ascii="仿宋" w:hAnsi="仿宋" w:eastAsia="仿宋"/>
          <w:b w:val="0"/>
          <w:bCs w:val="0"/>
        </w:rPr>
        <w:t>般公共预算财政拨款项目支出决算表</w:t>
      </w:r>
      <w:bookmarkEnd w:id="110"/>
      <w:bookmarkEnd w:id="111"/>
      <w:bookmarkEnd w:id="112"/>
    </w:p>
    <w:p>
      <w:pPr>
        <w:pStyle w:val="4"/>
        <w:spacing w:line="560" w:lineRule="exact"/>
        <w:rPr>
          <w:rFonts w:ascii="仿宋" w:hAnsi="仿宋" w:eastAsia="仿宋"/>
          <w:color w:val="000000"/>
        </w:rPr>
      </w:pPr>
      <w:bookmarkStart w:id="113" w:name="_Toc15396628"/>
      <w:bookmarkStart w:id="114" w:name="_Toc49975953"/>
      <w:bookmarkStart w:id="115" w:name="_Toc49976140"/>
      <w:r>
        <w:rPr>
          <w:rStyle w:val="51"/>
          <w:rFonts w:hint="eastAsia" w:ascii="仿宋" w:hAnsi="仿宋" w:eastAsia="仿宋"/>
          <w:b w:val="0"/>
          <w:bCs w:val="0"/>
        </w:rPr>
        <w:t>十、</w:t>
      </w:r>
      <w:r>
        <w:rPr>
          <w:rFonts w:hint="eastAsia" w:ascii="仿宋" w:hAnsi="仿宋" w:eastAsia="仿宋"/>
          <w:b w:val="0"/>
          <w:color w:val="000000"/>
        </w:rPr>
        <w:t>一</w:t>
      </w:r>
      <w:r>
        <w:rPr>
          <w:rStyle w:val="51"/>
          <w:rFonts w:hint="eastAsia" w:ascii="仿宋" w:hAnsi="仿宋" w:eastAsia="仿宋"/>
          <w:b w:val="0"/>
          <w:bCs w:val="0"/>
        </w:rPr>
        <w:t>般公共预算财政拨款“三公”经费支出决算表</w:t>
      </w:r>
      <w:bookmarkEnd w:id="113"/>
      <w:bookmarkEnd w:id="114"/>
      <w:bookmarkEnd w:id="115"/>
    </w:p>
    <w:p>
      <w:pPr>
        <w:pStyle w:val="4"/>
        <w:spacing w:line="560" w:lineRule="exact"/>
        <w:rPr>
          <w:rFonts w:ascii="仿宋" w:hAnsi="仿宋" w:eastAsia="仿宋"/>
          <w:color w:val="000000"/>
        </w:rPr>
      </w:pPr>
      <w:bookmarkStart w:id="116" w:name="_Toc15396629"/>
      <w:bookmarkStart w:id="117" w:name="_Toc49975954"/>
      <w:bookmarkStart w:id="118" w:name="_Toc49976141"/>
      <w:r>
        <w:rPr>
          <w:rStyle w:val="51"/>
          <w:rFonts w:hint="eastAsia" w:ascii="仿宋" w:hAnsi="仿宋" w:eastAsia="仿宋"/>
          <w:b w:val="0"/>
          <w:bCs w:val="0"/>
        </w:rPr>
        <w:t>十一、</w:t>
      </w:r>
      <w:r>
        <w:rPr>
          <w:rFonts w:hint="eastAsia" w:ascii="仿宋" w:hAnsi="仿宋" w:eastAsia="仿宋"/>
          <w:b w:val="0"/>
          <w:color w:val="000000"/>
        </w:rPr>
        <w:t>政</w:t>
      </w:r>
      <w:r>
        <w:rPr>
          <w:rStyle w:val="51"/>
          <w:rFonts w:hint="eastAsia" w:ascii="仿宋" w:hAnsi="仿宋" w:eastAsia="仿宋"/>
          <w:b w:val="0"/>
          <w:bCs w:val="0"/>
        </w:rPr>
        <w:t>府性基金预算财政拨款收入支出决算表</w:t>
      </w:r>
      <w:bookmarkEnd w:id="116"/>
      <w:bookmarkEnd w:id="117"/>
      <w:bookmarkEnd w:id="118"/>
    </w:p>
    <w:p>
      <w:pPr>
        <w:pStyle w:val="4"/>
        <w:spacing w:line="560" w:lineRule="exact"/>
        <w:rPr>
          <w:rFonts w:ascii="仿宋" w:hAnsi="仿宋" w:eastAsia="仿宋"/>
          <w:color w:val="000000"/>
        </w:rPr>
      </w:pPr>
      <w:bookmarkStart w:id="119" w:name="_Toc15396630"/>
      <w:bookmarkStart w:id="120" w:name="_Toc49975955"/>
      <w:bookmarkStart w:id="121" w:name="_Toc49976142"/>
      <w:r>
        <w:rPr>
          <w:rStyle w:val="51"/>
          <w:rFonts w:hint="eastAsia" w:ascii="仿宋" w:hAnsi="仿宋" w:eastAsia="仿宋"/>
          <w:b w:val="0"/>
          <w:bCs w:val="0"/>
        </w:rPr>
        <w:t>十二、</w:t>
      </w:r>
      <w:r>
        <w:rPr>
          <w:rFonts w:hint="eastAsia" w:ascii="仿宋" w:hAnsi="仿宋" w:eastAsia="仿宋"/>
          <w:b w:val="0"/>
          <w:color w:val="000000"/>
        </w:rPr>
        <w:t>政</w:t>
      </w:r>
      <w:r>
        <w:rPr>
          <w:rStyle w:val="51"/>
          <w:rFonts w:hint="eastAsia" w:ascii="仿宋" w:hAnsi="仿宋" w:eastAsia="仿宋"/>
          <w:b w:val="0"/>
          <w:bCs w:val="0"/>
        </w:rPr>
        <w:t>府性基金预算财政拨款“三公”经费支出决算表</w:t>
      </w:r>
      <w:bookmarkEnd w:id="119"/>
      <w:bookmarkEnd w:id="120"/>
      <w:bookmarkEnd w:id="121"/>
    </w:p>
    <w:p>
      <w:pPr>
        <w:pStyle w:val="4"/>
        <w:spacing w:line="560" w:lineRule="exact"/>
        <w:rPr>
          <w:rFonts w:ascii="仿宋" w:hAnsi="仿宋" w:eastAsia="仿宋"/>
          <w:color w:val="000000"/>
        </w:rPr>
      </w:pPr>
      <w:bookmarkStart w:id="122" w:name="_Toc15396631"/>
      <w:bookmarkStart w:id="123" w:name="_Toc49975956"/>
      <w:bookmarkStart w:id="124" w:name="_Toc49976143"/>
      <w:r>
        <w:rPr>
          <w:rStyle w:val="51"/>
          <w:rFonts w:hint="eastAsia" w:ascii="仿宋" w:hAnsi="仿宋" w:eastAsia="仿宋"/>
          <w:b w:val="0"/>
          <w:bCs w:val="0"/>
        </w:rPr>
        <w:t>十三、</w:t>
      </w:r>
      <w:r>
        <w:rPr>
          <w:rFonts w:hint="eastAsia" w:ascii="仿宋" w:hAnsi="仿宋" w:eastAsia="仿宋"/>
          <w:b w:val="0"/>
          <w:color w:val="000000"/>
        </w:rPr>
        <w:t>国</w:t>
      </w:r>
      <w:r>
        <w:rPr>
          <w:rStyle w:val="51"/>
          <w:rFonts w:hint="eastAsia" w:ascii="仿宋" w:hAnsi="仿宋" w:eastAsia="仿宋"/>
          <w:b w:val="0"/>
          <w:bCs w:val="0"/>
        </w:rPr>
        <w:t>有资本经营预算支出决算表</w:t>
      </w:r>
      <w:bookmarkEnd w:id="122"/>
      <w:bookmarkEnd w:id="123"/>
      <w:bookmarkEnd w:id="124"/>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5395570"/>
    </w:sdtPr>
    <w:sdtContent>
      <w:p>
        <w:pPr>
          <w:pStyle w:val="15"/>
          <w:jc w:val="center"/>
        </w:pPr>
        <w:r>
          <w:fldChar w:fldCharType="begin"/>
        </w:r>
        <w:r>
          <w:instrText xml:space="preserve">PAGE   \* MERGEFORMAT</w:instrText>
        </w:r>
        <w:r>
          <w:fldChar w:fldCharType="separate"/>
        </w:r>
        <w:r>
          <w:rPr>
            <w:lang w:val="zh-CN"/>
          </w:rPr>
          <w:t>21</w:t>
        </w:r>
        <w:r>
          <w:fldChar w:fldCharType="end"/>
        </w:r>
      </w:p>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38832B8"/>
    <w:multiLevelType w:val="singleLevel"/>
    <w:tmpl w:val="E38832B8"/>
    <w:lvl w:ilvl="0" w:tentative="0">
      <w:start w:val="1"/>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E1"/>
    <w:rsid w:val="000240E9"/>
    <w:rsid w:val="000503BB"/>
    <w:rsid w:val="000E0792"/>
    <w:rsid w:val="001169CB"/>
    <w:rsid w:val="00155D09"/>
    <w:rsid w:val="001647FE"/>
    <w:rsid w:val="00166650"/>
    <w:rsid w:val="0018278E"/>
    <w:rsid w:val="00214572"/>
    <w:rsid w:val="00230CE1"/>
    <w:rsid w:val="002415BD"/>
    <w:rsid w:val="00241976"/>
    <w:rsid w:val="0024305A"/>
    <w:rsid w:val="00252EC0"/>
    <w:rsid w:val="002B1195"/>
    <w:rsid w:val="002F54D0"/>
    <w:rsid w:val="003012F3"/>
    <w:rsid w:val="00340403"/>
    <w:rsid w:val="00341421"/>
    <w:rsid w:val="00377E5B"/>
    <w:rsid w:val="003808B5"/>
    <w:rsid w:val="00384C5B"/>
    <w:rsid w:val="003E402F"/>
    <w:rsid w:val="003F5ECE"/>
    <w:rsid w:val="00435C6F"/>
    <w:rsid w:val="00437254"/>
    <w:rsid w:val="00464BE1"/>
    <w:rsid w:val="004A3BE4"/>
    <w:rsid w:val="004A4EA9"/>
    <w:rsid w:val="004C612F"/>
    <w:rsid w:val="004D2C97"/>
    <w:rsid w:val="00531513"/>
    <w:rsid w:val="0054043D"/>
    <w:rsid w:val="005D4E3E"/>
    <w:rsid w:val="00621B9E"/>
    <w:rsid w:val="00634C52"/>
    <w:rsid w:val="00645119"/>
    <w:rsid w:val="006E7311"/>
    <w:rsid w:val="007210FD"/>
    <w:rsid w:val="00791398"/>
    <w:rsid w:val="007918A1"/>
    <w:rsid w:val="00793F6F"/>
    <w:rsid w:val="007A63B4"/>
    <w:rsid w:val="00821DE2"/>
    <w:rsid w:val="00824E9E"/>
    <w:rsid w:val="008505AE"/>
    <w:rsid w:val="008672AE"/>
    <w:rsid w:val="008915EF"/>
    <w:rsid w:val="008A5D0B"/>
    <w:rsid w:val="00901A77"/>
    <w:rsid w:val="0093318D"/>
    <w:rsid w:val="009407EA"/>
    <w:rsid w:val="009542A0"/>
    <w:rsid w:val="009549C2"/>
    <w:rsid w:val="0095619E"/>
    <w:rsid w:val="00957960"/>
    <w:rsid w:val="009853E4"/>
    <w:rsid w:val="009B5FB2"/>
    <w:rsid w:val="009C0CBC"/>
    <w:rsid w:val="009C1631"/>
    <w:rsid w:val="009E6C34"/>
    <w:rsid w:val="009F0251"/>
    <w:rsid w:val="00A101C5"/>
    <w:rsid w:val="00A221EF"/>
    <w:rsid w:val="00A350FD"/>
    <w:rsid w:val="00A505BD"/>
    <w:rsid w:val="00A5594A"/>
    <w:rsid w:val="00A60BB6"/>
    <w:rsid w:val="00A70929"/>
    <w:rsid w:val="00AA51F2"/>
    <w:rsid w:val="00AB1207"/>
    <w:rsid w:val="00AB3095"/>
    <w:rsid w:val="00AD40A3"/>
    <w:rsid w:val="00AD479D"/>
    <w:rsid w:val="00AF5BF6"/>
    <w:rsid w:val="00B13C50"/>
    <w:rsid w:val="00B71EA7"/>
    <w:rsid w:val="00B80C11"/>
    <w:rsid w:val="00B8595D"/>
    <w:rsid w:val="00B86C0C"/>
    <w:rsid w:val="00BC205B"/>
    <w:rsid w:val="00BD25EB"/>
    <w:rsid w:val="00BF69D5"/>
    <w:rsid w:val="00C46305"/>
    <w:rsid w:val="00C803B0"/>
    <w:rsid w:val="00C871F5"/>
    <w:rsid w:val="00CB7BF0"/>
    <w:rsid w:val="00CD2FB9"/>
    <w:rsid w:val="00CE380E"/>
    <w:rsid w:val="00CE7D64"/>
    <w:rsid w:val="00CF2554"/>
    <w:rsid w:val="00D30145"/>
    <w:rsid w:val="00D40BC8"/>
    <w:rsid w:val="00D46766"/>
    <w:rsid w:val="00D66C03"/>
    <w:rsid w:val="00DC5A4C"/>
    <w:rsid w:val="00DF4B38"/>
    <w:rsid w:val="00DF7D97"/>
    <w:rsid w:val="00E26A16"/>
    <w:rsid w:val="00E30DA1"/>
    <w:rsid w:val="00E34C2C"/>
    <w:rsid w:val="00E67447"/>
    <w:rsid w:val="00EE5953"/>
    <w:rsid w:val="00EE6715"/>
    <w:rsid w:val="00F17C31"/>
    <w:rsid w:val="00F207F1"/>
    <w:rsid w:val="00F4521B"/>
    <w:rsid w:val="00F52BC9"/>
    <w:rsid w:val="00F847B4"/>
    <w:rsid w:val="00F86D77"/>
    <w:rsid w:val="00FC5893"/>
    <w:rsid w:val="0ACB51E5"/>
    <w:rsid w:val="0BA74031"/>
    <w:rsid w:val="0D846D92"/>
    <w:rsid w:val="109E59AE"/>
    <w:rsid w:val="10F059B4"/>
    <w:rsid w:val="121119A3"/>
    <w:rsid w:val="18857B7F"/>
    <w:rsid w:val="1B74400A"/>
    <w:rsid w:val="1C5C0473"/>
    <w:rsid w:val="229323D9"/>
    <w:rsid w:val="22981ED6"/>
    <w:rsid w:val="3CD97D28"/>
    <w:rsid w:val="470A6822"/>
    <w:rsid w:val="4A8D32F7"/>
    <w:rsid w:val="5B2A38F0"/>
    <w:rsid w:val="5FF609E1"/>
    <w:rsid w:val="62950FAE"/>
    <w:rsid w:val="667F10F7"/>
    <w:rsid w:val="771D2FDC"/>
    <w:rsid w:val="77BD4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50"/>
    <w:qFormat/>
    <w:uiPriority w:val="9"/>
    <w:pPr>
      <w:keepNext/>
      <w:keepLines/>
      <w:spacing w:before="340" w:after="330" w:line="578" w:lineRule="auto"/>
      <w:outlineLvl w:val="0"/>
    </w:pPr>
    <w:rPr>
      <w:rFonts w:eastAsia="宋体"/>
      <w:b/>
      <w:bCs/>
      <w:kern w:val="44"/>
      <w:sz w:val="44"/>
      <w:szCs w:val="44"/>
    </w:rPr>
  </w:style>
  <w:style w:type="paragraph" w:styleId="4">
    <w:name w:val="heading 2"/>
    <w:basedOn w:val="1"/>
    <w:next w:val="1"/>
    <w:link w:val="51"/>
    <w:unhideWhenUsed/>
    <w:qFormat/>
    <w:uiPriority w:val="9"/>
    <w:pPr>
      <w:keepNext/>
      <w:keepLines/>
      <w:spacing w:before="260" w:after="260" w:line="416" w:lineRule="auto"/>
      <w:outlineLvl w:val="1"/>
    </w:pPr>
    <w:rPr>
      <w:rFonts w:ascii="Cambria" w:hAnsi="Cambria" w:eastAsia="宋体"/>
      <w:b/>
      <w:bCs/>
      <w:szCs w:val="32"/>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5">
    <w:name w:val="toc 7"/>
    <w:basedOn w:val="1"/>
    <w:next w:val="1"/>
    <w:qFormat/>
    <w:uiPriority w:val="0"/>
    <w:pPr>
      <w:ind w:left="1800"/>
      <w:jc w:val="left"/>
    </w:pPr>
    <w:rPr>
      <w:rFonts w:ascii="等线" w:eastAsia="等线"/>
      <w:sz w:val="20"/>
      <w:szCs w:val="20"/>
    </w:rPr>
  </w:style>
  <w:style w:type="paragraph" w:styleId="6">
    <w:name w:val="Body Text 3"/>
    <w:basedOn w:val="1"/>
    <w:link w:val="53"/>
    <w:qFormat/>
    <w:uiPriority w:val="0"/>
    <w:pPr>
      <w:spacing w:line="560" w:lineRule="exact"/>
    </w:pPr>
  </w:style>
  <w:style w:type="paragraph" w:styleId="7">
    <w:name w:val="Body Text"/>
    <w:basedOn w:val="1"/>
    <w:link w:val="54"/>
    <w:qFormat/>
    <w:uiPriority w:val="0"/>
    <w:pPr>
      <w:spacing w:line="480" w:lineRule="exact"/>
      <w:jc w:val="center"/>
    </w:pPr>
    <w:rPr>
      <w:rFonts w:eastAsia="宋体"/>
      <w:sz w:val="44"/>
      <w:szCs w:val="28"/>
    </w:rPr>
  </w:style>
  <w:style w:type="paragraph" w:styleId="8">
    <w:name w:val="Body Text Indent"/>
    <w:basedOn w:val="1"/>
    <w:link w:val="42"/>
    <w:qFormat/>
    <w:uiPriority w:val="0"/>
    <w:pPr>
      <w:spacing w:after="120"/>
      <w:ind w:left="420" w:leftChars="200"/>
    </w:pPr>
  </w:style>
  <w:style w:type="paragraph" w:styleId="9">
    <w:name w:val="toc 5"/>
    <w:basedOn w:val="1"/>
    <w:next w:val="1"/>
    <w:qFormat/>
    <w:uiPriority w:val="0"/>
    <w:pPr>
      <w:ind w:left="1200"/>
      <w:jc w:val="left"/>
    </w:pPr>
    <w:rPr>
      <w:rFonts w:ascii="等线" w:eastAsia="等线"/>
      <w:sz w:val="20"/>
      <w:szCs w:val="20"/>
    </w:rPr>
  </w:style>
  <w:style w:type="paragraph" w:styleId="10">
    <w:name w:val="toc 3"/>
    <w:basedOn w:val="1"/>
    <w:next w:val="1"/>
    <w:qFormat/>
    <w:uiPriority w:val="39"/>
    <w:pPr>
      <w:ind w:left="600"/>
      <w:jc w:val="left"/>
    </w:pPr>
    <w:rPr>
      <w:rFonts w:ascii="等线" w:eastAsia="等线"/>
      <w:sz w:val="20"/>
      <w:szCs w:val="20"/>
    </w:rPr>
  </w:style>
  <w:style w:type="paragraph" w:styleId="11">
    <w:name w:val="toc 8"/>
    <w:basedOn w:val="1"/>
    <w:next w:val="1"/>
    <w:qFormat/>
    <w:uiPriority w:val="0"/>
    <w:pPr>
      <w:ind w:left="2100"/>
      <w:jc w:val="left"/>
    </w:pPr>
    <w:rPr>
      <w:rFonts w:ascii="等线" w:eastAsia="等线"/>
      <w:sz w:val="20"/>
      <w:szCs w:val="20"/>
    </w:rPr>
  </w:style>
  <w:style w:type="paragraph" w:styleId="12">
    <w:name w:val="Date"/>
    <w:basedOn w:val="1"/>
    <w:next w:val="1"/>
    <w:link w:val="38"/>
    <w:qFormat/>
    <w:uiPriority w:val="0"/>
    <w:pPr>
      <w:ind w:left="100" w:leftChars="2500"/>
    </w:pPr>
  </w:style>
  <w:style w:type="paragraph" w:styleId="13">
    <w:name w:val="Body Text Indent 2"/>
    <w:basedOn w:val="1"/>
    <w:link w:val="43"/>
    <w:qFormat/>
    <w:uiPriority w:val="0"/>
    <w:pPr>
      <w:spacing w:line="580" w:lineRule="exact"/>
      <w:ind w:firstLine="640" w:firstLineChars="200"/>
    </w:pPr>
    <w:rPr>
      <w:rFonts w:ascii="仿宋_GB2312"/>
      <w:szCs w:val="32"/>
    </w:rPr>
  </w:style>
  <w:style w:type="paragraph" w:styleId="14">
    <w:name w:val="Balloon Text"/>
    <w:basedOn w:val="1"/>
    <w:link w:val="52"/>
    <w:qFormat/>
    <w:uiPriority w:val="0"/>
    <w:rPr>
      <w:sz w:val="18"/>
      <w:szCs w:val="18"/>
    </w:rPr>
  </w:style>
  <w:style w:type="paragraph" w:styleId="15">
    <w:name w:val="footer"/>
    <w:basedOn w:val="1"/>
    <w:link w:val="35"/>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jc w:val="left"/>
    </w:pPr>
    <w:rPr>
      <w:rFonts w:ascii="等线" w:eastAsia="等线"/>
      <w:b/>
      <w:bCs/>
      <w:i/>
      <w:iCs/>
      <w:sz w:val="24"/>
    </w:rPr>
  </w:style>
  <w:style w:type="paragraph" w:styleId="18">
    <w:name w:val="toc 4"/>
    <w:basedOn w:val="1"/>
    <w:next w:val="1"/>
    <w:qFormat/>
    <w:uiPriority w:val="0"/>
    <w:pPr>
      <w:ind w:left="900"/>
      <w:jc w:val="left"/>
    </w:pPr>
    <w:rPr>
      <w:rFonts w:ascii="等线" w:eastAsia="等线"/>
      <w:sz w:val="20"/>
      <w:szCs w:val="20"/>
    </w:rPr>
  </w:style>
  <w:style w:type="paragraph" w:styleId="19">
    <w:name w:val="toc 6"/>
    <w:basedOn w:val="1"/>
    <w:next w:val="1"/>
    <w:qFormat/>
    <w:uiPriority w:val="0"/>
    <w:pPr>
      <w:ind w:left="1500"/>
      <w:jc w:val="left"/>
    </w:pPr>
    <w:rPr>
      <w:rFonts w:ascii="等线" w:eastAsia="等线"/>
      <w:sz w:val="20"/>
      <w:szCs w:val="20"/>
    </w:rPr>
  </w:style>
  <w:style w:type="paragraph" w:styleId="20">
    <w:name w:val="Body Text Indent 3"/>
    <w:basedOn w:val="1"/>
    <w:link w:val="46"/>
    <w:qFormat/>
    <w:uiPriority w:val="0"/>
    <w:pPr>
      <w:spacing w:line="560" w:lineRule="exact"/>
      <w:ind w:firstLine="600" w:firstLineChars="200"/>
    </w:pPr>
    <w:rPr>
      <w:sz w:val="30"/>
      <w:szCs w:val="28"/>
    </w:rPr>
  </w:style>
  <w:style w:type="paragraph" w:styleId="21">
    <w:name w:val="table of figures"/>
    <w:basedOn w:val="1"/>
    <w:next w:val="1"/>
    <w:unhideWhenUsed/>
    <w:qFormat/>
    <w:uiPriority w:val="99"/>
    <w:pPr>
      <w:ind w:left="200" w:leftChars="200" w:hanging="200" w:hangingChars="200"/>
    </w:pPr>
    <w:rPr>
      <w:rFonts w:ascii="Calibri" w:hAnsi="Calibri" w:eastAsia="宋体"/>
      <w:sz w:val="21"/>
      <w:szCs w:val="22"/>
    </w:rPr>
  </w:style>
  <w:style w:type="paragraph" w:styleId="22">
    <w:name w:val="toc 2"/>
    <w:basedOn w:val="1"/>
    <w:next w:val="1"/>
    <w:unhideWhenUsed/>
    <w:qFormat/>
    <w:uiPriority w:val="39"/>
    <w:pPr>
      <w:spacing w:before="120"/>
      <w:ind w:left="300"/>
      <w:jc w:val="left"/>
    </w:pPr>
    <w:rPr>
      <w:rFonts w:ascii="等线" w:eastAsia="等线"/>
      <w:b/>
      <w:bCs/>
      <w:sz w:val="22"/>
      <w:szCs w:val="22"/>
    </w:rPr>
  </w:style>
  <w:style w:type="paragraph" w:styleId="23">
    <w:name w:val="toc 9"/>
    <w:basedOn w:val="1"/>
    <w:next w:val="1"/>
    <w:qFormat/>
    <w:uiPriority w:val="0"/>
    <w:pPr>
      <w:ind w:left="2400"/>
      <w:jc w:val="left"/>
    </w:pPr>
    <w:rPr>
      <w:rFonts w:ascii="等线" w:eastAsia="等线"/>
      <w:sz w:val="20"/>
      <w:szCs w:val="20"/>
    </w:rPr>
  </w:style>
  <w:style w:type="paragraph" w:styleId="24">
    <w:name w:val="Body Text 2"/>
    <w:basedOn w:val="1"/>
    <w:link w:val="45"/>
    <w:qFormat/>
    <w:uiPriority w:val="0"/>
    <w:pPr>
      <w:spacing w:line="560" w:lineRule="exact"/>
      <w:jc w:val="center"/>
    </w:pPr>
    <w:rPr>
      <w:rFonts w:eastAsia="宋体"/>
      <w:b/>
      <w:bCs/>
      <w:sz w:val="44"/>
      <w:szCs w:val="28"/>
    </w:rPr>
  </w:style>
  <w:style w:type="paragraph" w:styleId="25">
    <w:name w:val="Normal (Web)"/>
    <w:basedOn w:val="1"/>
    <w:qFormat/>
    <w:uiPriority w:val="0"/>
    <w:pPr>
      <w:widowControl/>
      <w:spacing w:before="100" w:beforeAutospacing="1" w:after="100" w:afterAutospacing="1"/>
      <w:jc w:val="left"/>
    </w:pPr>
    <w:rPr>
      <w:rFonts w:ascii="宋体" w:hAnsi="宋体" w:eastAsia="宋体"/>
      <w:color w:val="000000"/>
      <w:kern w:val="0"/>
      <w:sz w:val="24"/>
    </w:rPr>
  </w:style>
  <w:style w:type="table" w:styleId="27">
    <w:name w:val="Table Grid"/>
    <w:basedOn w:val="2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99"/>
    <w:rPr>
      <w:b/>
      <w:bCs/>
    </w:rPr>
  </w:style>
  <w:style w:type="character" w:styleId="30">
    <w:name w:val="page number"/>
    <w:basedOn w:val="28"/>
    <w:qFormat/>
    <w:uiPriority w:val="0"/>
  </w:style>
  <w:style w:type="character" w:styleId="31">
    <w:name w:val="FollowedHyperlink"/>
    <w:qFormat/>
    <w:uiPriority w:val="0"/>
    <w:rPr>
      <w:color w:val="954F72"/>
      <w:u w:val="single"/>
    </w:rPr>
  </w:style>
  <w:style w:type="character" w:styleId="32">
    <w:name w:val="HTML Typewriter"/>
    <w:qFormat/>
    <w:uiPriority w:val="0"/>
    <w:rPr>
      <w:rFonts w:ascii="黑体" w:hAnsi="Courier New" w:eastAsia="黑体" w:cs="Courier New"/>
      <w:sz w:val="20"/>
      <w:szCs w:val="20"/>
    </w:rPr>
  </w:style>
  <w:style w:type="character" w:styleId="33">
    <w:name w:val="Hyperlink"/>
    <w:unhideWhenUsed/>
    <w:qFormat/>
    <w:uiPriority w:val="99"/>
    <w:rPr>
      <w:color w:val="0000FF"/>
      <w:u w:val="single"/>
    </w:rPr>
  </w:style>
  <w:style w:type="character" w:customStyle="1" w:styleId="34">
    <w:name w:val="页眉 字符1"/>
    <w:basedOn w:val="28"/>
    <w:link w:val="16"/>
    <w:qFormat/>
    <w:uiPriority w:val="99"/>
    <w:rPr>
      <w:sz w:val="18"/>
      <w:szCs w:val="18"/>
    </w:rPr>
  </w:style>
  <w:style w:type="character" w:customStyle="1" w:styleId="35">
    <w:name w:val="页脚 字符1"/>
    <w:basedOn w:val="28"/>
    <w:link w:val="15"/>
    <w:qFormat/>
    <w:uiPriority w:val="99"/>
    <w:rPr>
      <w:sz w:val="18"/>
      <w:szCs w:val="18"/>
    </w:rPr>
  </w:style>
  <w:style w:type="character" w:customStyle="1" w:styleId="36">
    <w:name w:val="标题 1 Char"/>
    <w:basedOn w:val="28"/>
    <w:qFormat/>
    <w:uiPriority w:val="9"/>
    <w:rPr>
      <w:rFonts w:ascii="Times New Roman" w:hAnsi="Times New Roman" w:eastAsia="仿宋_GB2312" w:cs="Times New Roman"/>
      <w:b/>
      <w:bCs/>
      <w:kern w:val="44"/>
      <w:sz w:val="44"/>
      <w:szCs w:val="44"/>
    </w:rPr>
  </w:style>
  <w:style w:type="character" w:customStyle="1" w:styleId="37">
    <w:name w:val="标题 2 Char"/>
    <w:basedOn w:val="28"/>
    <w:semiHidden/>
    <w:qFormat/>
    <w:uiPriority w:val="9"/>
    <w:rPr>
      <w:rFonts w:asciiTheme="majorHAnsi" w:hAnsiTheme="majorHAnsi" w:eastAsiaTheme="majorEastAsia" w:cstheme="majorBidi"/>
      <w:b/>
      <w:bCs/>
      <w:sz w:val="32"/>
      <w:szCs w:val="32"/>
    </w:rPr>
  </w:style>
  <w:style w:type="character" w:customStyle="1" w:styleId="38">
    <w:name w:val="日期 字符"/>
    <w:basedOn w:val="28"/>
    <w:link w:val="12"/>
    <w:qFormat/>
    <w:uiPriority w:val="0"/>
    <w:rPr>
      <w:rFonts w:ascii="Times New Roman" w:hAnsi="Times New Roman" w:eastAsia="仿宋_GB2312" w:cs="Times New Roman"/>
      <w:sz w:val="32"/>
      <w:szCs w:val="24"/>
    </w:rPr>
  </w:style>
  <w:style w:type="character" w:customStyle="1" w:styleId="39">
    <w:name w:val="正文文本 3 Char"/>
    <w:basedOn w:val="28"/>
    <w:semiHidden/>
    <w:qFormat/>
    <w:uiPriority w:val="99"/>
    <w:rPr>
      <w:rFonts w:ascii="Times New Roman" w:hAnsi="Times New Roman" w:eastAsia="仿宋_GB2312" w:cs="Times New Roman"/>
      <w:sz w:val="16"/>
      <w:szCs w:val="16"/>
    </w:rPr>
  </w:style>
  <w:style w:type="paragraph" w:customStyle="1" w:styleId="40">
    <w:name w:val="样式-1"/>
    <w:basedOn w:val="1"/>
    <w:qFormat/>
    <w:uiPriority w:val="0"/>
    <w:pPr>
      <w:adjustRightInd w:val="0"/>
      <w:spacing w:line="520" w:lineRule="atLeast"/>
      <w:textAlignment w:val="baseline"/>
    </w:pPr>
    <w:rPr>
      <w:rFonts w:eastAsia="楷体_GB2312"/>
      <w:kern w:val="0"/>
      <w:szCs w:val="20"/>
    </w:rPr>
  </w:style>
  <w:style w:type="character" w:customStyle="1" w:styleId="41">
    <w:name w:val="批注框文本 Char"/>
    <w:basedOn w:val="28"/>
    <w:semiHidden/>
    <w:qFormat/>
    <w:uiPriority w:val="99"/>
    <w:rPr>
      <w:rFonts w:ascii="Times New Roman" w:hAnsi="Times New Roman" w:eastAsia="仿宋_GB2312" w:cs="Times New Roman"/>
      <w:sz w:val="18"/>
      <w:szCs w:val="18"/>
    </w:rPr>
  </w:style>
  <w:style w:type="character" w:customStyle="1" w:styleId="42">
    <w:name w:val="正文文本缩进 字符"/>
    <w:basedOn w:val="28"/>
    <w:link w:val="8"/>
    <w:qFormat/>
    <w:uiPriority w:val="0"/>
    <w:rPr>
      <w:rFonts w:ascii="Times New Roman" w:hAnsi="Times New Roman" w:eastAsia="仿宋_GB2312" w:cs="Times New Roman"/>
      <w:sz w:val="32"/>
      <w:szCs w:val="24"/>
    </w:rPr>
  </w:style>
  <w:style w:type="character" w:customStyle="1" w:styleId="43">
    <w:name w:val="正文文本缩进 2 字符"/>
    <w:basedOn w:val="28"/>
    <w:link w:val="13"/>
    <w:qFormat/>
    <w:uiPriority w:val="0"/>
    <w:rPr>
      <w:rFonts w:ascii="仿宋_GB2312" w:hAnsi="Times New Roman" w:eastAsia="仿宋_GB2312" w:cs="Times New Roman"/>
      <w:sz w:val="32"/>
      <w:szCs w:val="32"/>
    </w:rPr>
  </w:style>
  <w:style w:type="character" w:customStyle="1" w:styleId="44">
    <w:name w:val="正文文本 Char"/>
    <w:basedOn w:val="28"/>
    <w:semiHidden/>
    <w:qFormat/>
    <w:uiPriority w:val="99"/>
    <w:rPr>
      <w:rFonts w:ascii="Times New Roman" w:hAnsi="Times New Roman" w:eastAsia="仿宋_GB2312" w:cs="Times New Roman"/>
      <w:sz w:val="32"/>
      <w:szCs w:val="24"/>
    </w:rPr>
  </w:style>
  <w:style w:type="character" w:customStyle="1" w:styleId="45">
    <w:name w:val="正文文本 2 字符"/>
    <w:basedOn w:val="28"/>
    <w:link w:val="24"/>
    <w:qFormat/>
    <w:uiPriority w:val="0"/>
    <w:rPr>
      <w:rFonts w:ascii="Times New Roman" w:hAnsi="Times New Roman" w:eastAsia="宋体" w:cs="Times New Roman"/>
      <w:b/>
      <w:bCs/>
      <w:sz w:val="44"/>
      <w:szCs w:val="28"/>
    </w:rPr>
  </w:style>
  <w:style w:type="character" w:customStyle="1" w:styleId="46">
    <w:name w:val="正文文本缩进 3 字符"/>
    <w:basedOn w:val="28"/>
    <w:link w:val="20"/>
    <w:qFormat/>
    <w:uiPriority w:val="0"/>
    <w:rPr>
      <w:rFonts w:ascii="Times New Roman" w:hAnsi="Times New Roman" w:eastAsia="仿宋_GB2312" w:cs="Times New Roman"/>
      <w:sz w:val="30"/>
      <w:szCs w:val="28"/>
    </w:rPr>
  </w:style>
  <w:style w:type="paragraph" w:customStyle="1" w:styleId="47">
    <w:name w:val="Char1"/>
    <w:basedOn w:val="1"/>
    <w:semiHidden/>
    <w:qFormat/>
    <w:uiPriority w:val="0"/>
    <w:rPr>
      <w:rFonts w:eastAsia="宋体"/>
      <w:sz w:val="21"/>
    </w:rPr>
  </w:style>
  <w:style w:type="character" w:customStyle="1" w:styleId="48">
    <w:name w:val="页眉 字符"/>
    <w:qFormat/>
    <w:uiPriority w:val="0"/>
    <w:rPr>
      <w:rFonts w:eastAsia="仿宋_GB2312"/>
      <w:kern w:val="2"/>
      <w:sz w:val="18"/>
      <w:szCs w:val="18"/>
    </w:rPr>
  </w:style>
  <w:style w:type="character" w:customStyle="1" w:styleId="49">
    <w:name w:val="页脚 字符"/>
    <w:qFormat/>
    <w:uiPriority w:val="0"/>
    <w:rPr>
      <w:rFonts w:ascii="Calibri" w:hAnsi="Calibri" w:eastAsia="宋体" w:cs="Times New Roman"/>
      <w:kern w:val="2"/>
      <w:sz w:val="18"/>
      <w:szCs w:val="18"/>
    </w:rPr>
  </w:style>
  <w:style w:type="character" w:customStyle="1" w:styleId="50">
    <w:name w:val="标题 1 字符"/>
    <w:link w:val="3"/>
    <w:qFormat/>
    <w:uiPriority w:val="9"/>
    <w:rPr>
      <w:rFonts w:ascii="Times New Roman" w:hAnsi="Times New Roman" w:eastAsia="宋体" w:cs="Times New Roman"/>
      <w:b/>
      <w:bCs/>
      <w:kern w:val="44"/>
      <w:sz w:val="44"/>
      <w:szCs w:val="44"/>
    </w:rPr>
  </w:style>
  <w:style w:type="character" w:customStyle="1" w:styleId="51">
    <w:name w:val="标题 2 字符"/>
    <w:link w:val="4"/>
    <w:qFormat/>
    <w:uiPriority w:val="9"/>
    <w:rPr>
      <w:rFonts w:ascii="Cambria" w:hAnsi="Cambria" w:eastAsia="宋体" w:cs="Times New Roman"/>
      <w:b/>
      <w:bCs/>
      <w:sz w:val="32"/>
      <w:szCs w:val="32"/>
    </w:rPr>
  </w:style>
  <w:style w:type="character" w:customStyle="1" w:styleId="52">
    <w:name w:val="批注框文本 字符"/>
    <w:link w:val="14"/>
    <w:qFormat/>
    <w:uiPriority w:val="0"/>
    <w:rPr>
      <w:rFonts w:ascii="Times New Roman" w:hAnsi="Times New Roman" w:eastAsia="仿宋_GB2312" w:cs="Times New Roman"/>
      <w:sz w:val="18"/>
      <w:szCs w:val="18"/>
    </w:rPr>
  </w:style>
  <w:style w:type="character" w:customStyle="1" w:styleId="53">
    <w:name w:val="正文文本 3 字符"/>
    <w:link w:val="6"/>
    <w:qFormat/>
    <w:uiPriority w:val="0"/>
    <w:rPr>
      <w:rFonts w:ascii="Times New Roman" w:hAnsi="Times New Roman" w:eastAsia="仿宋_GB2312" w:cs="Times New Roman"/>
      <w:sz w:val="32"/>
      <w:szCs w:val="24"/>
    </w:rPr>
  </w:style>
  <w:style w:type="character" w:customStyle="1" w:styleId="54">
    <w:name w:val="正文文本 字符"/>
    <w:link w:val="7"/>
    <w:qFormat/>
    <w:uiPriority w:val="0"/>
    <w:rPr>
      <w:rFonts w:ascii="Times New Roman" w:hAnsi="Times New Roman" w:eastAsia="宋体" w:cs="Times New Roman"/>
      <w:sz w:val="44"/>
      <w:szCs w:val="28"/>
    </w:rPr>
  </w:style>
  <w:style w:type="paragraph" w:customStyle="1" w:styleId="5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56">
    <w:name w:val="List Paragraph"/>
    <w:basedOn w:val="1"/>
    <w:qFormat/>
    <w:uiPriority w:val="34"/>
    <w:pPr>
      <w:ind w:firstLine="420" w:firstLineChars="200"/>
    </w:pPr>
    <w:rPr>
      <w:rFonts w:eastAsia="宋体"/>
      <w:sz w:val="21"/>
    </w:rPr>
  </w:style>
  <w:style w:type="paragraph" w:customStyle="1" w:styleId="57">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B59C86-FD15-47EC-B4EF-2320B6D1333B}">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2031</Words>
  <Characters>11582</Characters>
  <Lines>96</Lines>
  <Paragraphs>27</Paragraphs>
  <TotalTime>49</TotalTime>
  <ScaleCrop>false</ScaleCrop>
  <LinksUpToDate>false</LinksUpToDate>
  <CharactersWithSpaces>13586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2020-09-18T00:25:00Z</dcterms:created>
  <dc:creator>admin</dc:creator>
  <cp:lastModifiedBy>Administrator</cp:lastModifiedBy>
  <cp:lastPrinted>2021-09-18T03:03:00Z</cp:lastPrinted>
  <dcterms:modified xsi:type="dcterms:W3CDTF">2021-09-26T01:02:10Z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